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923" w:type="dxa"/>
        <w:jc w:val="center"/>
        <w:tblBorders/>
        <w:tblLook w:val="01E0" w:firstRow="1" w:lastRow="1" w:firstColumn="1" w:lastColumn="1" w:noHBand="0" w:noVBand="0"/>
      </w:tblPr>
      <w:tblGrid>
        <w:gridCol w:w="3780"/>
        <w:gridCol w:w="6143"/>
      </w:tblGrid>
      <w:tr>
        <w:trPr>
          <w:jc w:val="center"/>
        </w:trPr>
        <w:tc>
          <w:tcPr>
            <w:shd w:val="clear" w:color="auto" w:fill="auto"/>
            <w:tcBorders/>
            <w:tcW w:w="3780" w:type="dxa"/>
            <w:textDirection w:val="lrTb"/>
            <w:noWrap w:val="false"/>
          </w:tcPr>
          <w:p>
            <w:pPr>
              <w:pBdr/>
              <w:tabs>
                <w:tab w:val="left" w:leader="none" w:pos="900"/>
              </w:tabs>
              <w:spacing/>
              <w:ind/>
              <w:jc w:val="center"/>
              <w:rPr>
                <w:b/>
                <w:sz w:val="26"/>
                <w:szCs w:val="26"/>
              </w:rPr>
            </w:pPr>
            <w:r/>
            <w:bookmarkStart w:id="0" w:name="_GoBack"/>
            <w:r/>
            <w:bookmarkEnd w:id="0"/>
            <w:r>
              <w:rPr>
                <w:b/>
                <w:sz w:val="26"/>
                <w:szCs w:val="26"/>
              </w:rPr>
              <w:t xml:space="preserve">ỦY BAN NHÂN DÂN</w:t>
            </w:r>
            <w:r>
              <w:rPr>
                <w:b/>
                <w:sz w:val="26"/>
                <w:szCs w:val="26"/>
              </w:rPr>
            </w:r>
          </w:p>
          <w:p>
            <w:pPr>
              <w:pBdr/>
              <w:tabs>
                <w:tab w:val="left" w:leader="none" w:pos="900"/>
              </w:tabs>
              <w:spacing/>
              <w:ind/>
              <w:jc w:val="center"/>
              <w:rPr>
                <w:b/>
                <w:sz w:val="26"/>
                <w:szCs w:val="26"/>
              </w:rPr>
            </w:pPr>
            <w:r>
              <w:rPr>
                <w:b/>
                <w:sz w:val="26"/>
                <w:szCs w:val="26"/>
              </w:rPr>
              <w:t xml:space="preserve">TỈNH TÂY NINH</w:t>
            </w:r>
            <w:r>
              <w:rPr>
                <w:b/>
                <w:sz w:val="26"/>
                <w:szCs w:val="26"/>
              </w:rPr>
            </w:r>
          </w:p>
          <w:p>
            <w:pPr>
              <w:pBdr/>
              <w:tabs>
                <w:tab w:val="left" w:leader="none" w:pos="900"/>
              </w:tabs>
              <w:spacing/>
              <w:ind/>
              <w:jc w:val="center"/>
              <w:rPr>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4294967293" distL="114300" distR="114300" simplePos="0" relativeHeight="251660288" behindDoc="0" locked="0" layoutInCell="1" allowOverlap="1">
                      <wp:simplePos x="0" y="0"/>
                      <wp:positionH relativeFrom="column">
                        <wp:posOffset>805815</wp:posOffset>
                      </wp:positionH>
                      <wp:positionV relativeFrom="paragraph">
                        <wp:posOffset>24129</wp:posOffset>
                      </wp:positionV>
                      <wp:extent cx="641350" cy="0"/>
                      <wp:effectExtent l="0" t="0" r="6350" b="0"/>
                      <wp:wrapNone/>
                      <wp:docPr id="1" name="Line 55"/>
                      <wp:cNvGraphicFramePr/>
                      <a:graphic xmlns:a="http://schemas.openxmlformats.org/drawingml/2006/main">
                        <a:graphicData uri="http://schemas.microsoft.com/office/word/2010/wordprocessingShape">
                          <wps:wsp>
                            <wps:cNvPr id="0" name=""/>
                            <wps:cNvSpPr/>
                            <wps:spPr bwMode="auto">
                              <a:xfrm>
                                <a:off x="0" y="0"/>
                                <a:ext cx="64135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60288;mso-wrap-distance-left:9.00pt;mso-wrap-distance-top:0.00pt;mso-wrap-distance-right:9.00pt;mso-wrap-distance-bottom:-169093.20pt;visibility:visible;" from="63.4pt,1.9pt" to="113.9pt,1.9pt" filled="f" strokecolor="#000000" strokeweight="0.75pt"/>
                  </w:pict>
                </mc:Fallback>
              </mc:AlternateContent>
            </w:r>
            <w:r>
              <w:rPr>
                <w:sz w:val="28"/>
                <w:szCs w:val="28"/>
              </w:rPr>
            </w:r>
          </w:p>
          <w:p>
            <w:pPr>
              <w:pBdr/>
              <w:tabs>
                <w:tab w:val="left" w:leader="none" w:pos="900"/>
              </w:tabs>
              <w:spacing/>
              <w:ind/>
              <w:jc w:val="center"/>
              <w:rPr>
                <w:b/>
                <w:sz w:val="28"/>
                <w:szCs w:val="28"/>
              </w:rPr>
            </w:pPr>
            <w:r>
              <w:rPr>
                <w:sz w:val="28"/>
                <w:szCs w:val="28"/>
              </w:rPr>
              <w:t xml:space="preserve">Số:           /</w:t>
            </w:r>
            <w:r>
              <w:rPr>
                <w:sz w:val="28"/>
                <w:szCs w:val="28"/>
              </w:rPr>
              <w:t xml:space="preserve">TTr-</w:t>
            </w:r>
            <w:r>
              <w:rPr>
                <w:sz w:val="28"/>
                <w:szCs w:val="28"/>
              </w:rPr>
              <w:t xml:space="preserve">UBND</w:t>
            </w:r>
            <w:r>
              <w:rPr>
                <w:b/>
                <w:sz w:val="28"/>
                <w:szCs w:val="28"/>
              </w:rPr>
            </w:r>
          </w:p>
          <w:p>
            <w:pPr>
              <w:pBdr/>
              <w:spacing/>
              <w:ind w:firstLine="72"/>
              <w:jc w:val="center"/>
              <w:rPr>
                <w:sz w:val="28"/>
                <w:szCs w:val="28"/>
              </w:rPr>
            </w:pPr>
            <w:r>
              <w:rPr>
                <w:sz w:val="28"/>
                <w:szCs w:val="28"/>
              </w:rPr>
            </w:r>
            <w:r>
              <w:rPr>
                <w:sz w:val="28"/>
                <w:szCs w:val="28"/>
              </w:rPr>
            </w:r>
          </w:p>
        </w:tc>
        <w:tc>
          <w:tcPr>
            <w:shd w:val="clear" w:color="auto" w:fill="auto"/>
            <w:tcBorders/>
            <w:tcW w:w="6143" w:type="dxa"/>
            <w:textDirection w:val="lrTb"/>
            <w:noWrap w:val="false"/>
          </w:tcPr>
          <w:p>
            <w:pPr>
              <w:pBdr/>
              <w:tabs>
                <w:tab w:val="left" w:leader="none" w:pos="900"/>
              </w:tabs>
              <w:spacing/>
              <w:ind/>
              <w:jc w:val="center"/>
              <w:rPr>
                <w:b/>
                <w:sz w:val="26"/>
                <w:szCs w:val="26"/>
              </w:rPr>
            </w:pPr>
            <w:r>
              <w:rPr>
                <w:b/>
                <w:sz w:val="26"/>
                <w:szCs w:val="26"/>
              </w:rPr>
              <w:t xml:space="preserve">CỘNG HÒA XÃ HỘI CHỦ NGHĨA VIỆT NAM</w:t>
            </w:r>
            <w:r>
              <w:rPr>
                <w:b/>
                <w:sz w:val="26"/>
                <w:szCs w:val="26"/>
              </w:rPr>
            </w:r>
          </w:p>
          <w:p>
            <w:pPr>
              <w:pBdr/>
              <w:tabs>
                <w:tab w:val="left" w:leader="none" w:pos="900"/>
              </w:tabs>
              <w:spacing/>
              <w:ind/>
              <w:jc w:val="center"/>
              <w:rPr>
                <w:b/>
                <w:sz w:val="28"/>
                <w:szCs w:val="28"/>
              </w:rPr>
            </w:pPr>
            <w:r>
              <w:rPr>
                <w:b/>
                <w:sz w:val="28"/>
                <w:szCs w:val="28"/>
              </w:rPr>
              <w:t xml:space="preserve">Độc lập – Tự do – Hạnh phúc</w:t>
            </w:r>
            <w:r>
              <w:rPr>
                <w:b/>
                <w:sz w:val="28"/>
                <w:szCs w:val="28"/>
              </w:rPr>
            </w:r>
          </w:p>
          <w:p>
            <w:pPr>
              <w:pBdr/>
              <w:tabs>
                <w:tab w:val="left" w:leader="none" w:pos="900"/>
              </w:tabs>
              <w:spacing/>
              <w:ind/>
              <w:jc w:val="center"/>
              <w:rPr>
                <w:i/>
                <w:sz w:val="28"/>
                <w:szCs w:val="28"/>
              </w:rPr>
            </w:pPr>
            <w:r>
              <w:rPr>
                <w:i/>
                <w:sz w:val="28"/>
                <w:szCs w:val="28"/>
              </w:rPr>
              <mc:AlternateContent>
                <mc:Choice Requires="wpg">
                  <w:drawing>
                    <wp:anchor xmlns:wp="http://schemas.openxmlformats.org/drawingml/2006/wordprocessingDrawing" xmlns:wp14="http://schemas.microsoft.com/office/word/2010/wordprocessingDrawing" distT="0" distB="4294967293" distL="114300" distR="114300" simplePos="0" relativeHeight="251658240" behindDoc="0" locked="0" layoutInCell="1" allowOverlap="1">
                      <wp:simplePos x="0" y="0"/>
                      <wp:positionH relativeFrom="column">
                        <wp:posOffset>723900</wp:posOffset>
                      </wp:positionH>
                      <wp:positionV relativeFrom="paragraph">
                        <wp:posOffset>26034</wp:posOffset>
                      </wp:positionV>
                      <wp:extent cx="2057400" cy="0"/>
                      <wp:effectExtent l="0" t="0" r="0" b="0"/>
                      <wp:wrapNone/>
                      <wp:docPr id="2" name="Line 54"/>
                      <wp:cNvGraphicFramePr/>
                      <a:graphic xmlns:a="http://schemas.openxmlformats.org/drawingml/2006/main">
                        <a:graphicData uri="http://schemas.microsoft.com/office/word/2010/wordprocessingShape">
                          <wps:wsp>
                            <wps:cNvPr id="0" name=""/>
                            <wps:cNvSpPr/>
                            <wps:spPr bwMode="auto">
                              <a:xfrm>
                                <a:off x="0" y="0"/>
                                <a:ext cx="205740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58240;mso-wrap-distance-left:9.00pt;mso-wrap-distance-top:0.00pt;mso-wrap-distance-right:9.00pt;mso-wrap-distance-bottom:-169093.20pt;visibility:visible;" from="57.0pt,2.0pt" to="219.0pt,2.0pt" filled="f" strokecolor="#000000" strokeweight="0.75pt"/>
                  </w:pict>
                </mc:Fallback>
              </mc:AlternateContent>
            </w:r>
            <w:r>
              <w:rPr>
                <w:i/>
                <w:sz w:val="28"/>
                <w:szCs w:val="28"/>
              </w:rPr>
            </w:r>
          </w:p>
          <w:p>
            <w:pPr>
              <w:pBdr/>
              <w:tabs>
                <w:tab w:val="left" w:leader="none" w:pos="900"/>
              </w:tabs>
              <w:spacing/>
              <w:ind/>
              <w:jc w:val="center"/>
              <w:rPr>
                <w:b/>
                <w:sz w:val="28"/>
                <w:szCs w:val="28"/>
              </w:rPr>
            </w:pPr>
            <w:r>
              <w:rPr>
                <w:i/>
                <w:sz w:val="28"/>
                <w:szCs w:val="28"/>
              </w:rPr>
              <w:t xml:space="preserve">Tây Ninh, ngày       tháng </w:t>
            </w:r>
            <w:r>
              <w:rPr>
                <w:i/>
                <w:sz w:val="28"/>
                <w:szCs w:val="28"/>
              </w:rPr>
              <w:t xml:space="preserve">     </w:t>
            </w:r>
            <w:r>
              <w:rPr>
                <w:i/>
                <w:sz w:val="28"/>
                <w:szCs w:val="28"/>
              </w:rPr>
              <w:t xml:space="preserve"> năm 20</w:t>
            </w:r>
            <w:r>
              <w:rPr>
                <w:i/>
                <w:sz w:val="28"/>
                <w:szCs w:val="28"/>
              </w:rPr>
              <w:t xml:space="preserve">2</w:t>
            </w:r>
            <w:r>
              <w:rPr>
                <w:i/>
                <w:sz w:val="28"/>
                <w:szCs w:val="28"/>
              </w:rPr>
              <w:t xml:space="preserve">6</w:t>
            </w:r>
            <w:r>
              <w:rPr>
                <w:b/>
                <w:sz w:val="28"/>
                <w:szCs w:val="28"/>
              </w:rPr>
            </w:r>
          </w:p>
          <w:p>
            <w:pPr>
              <w:pBdr/>
              <w:tabs>
                <w:tab w:val="left" w:leader="none" w:pos="900"/>
              </w:tabs>
              <w:spacing/>
              <w:ind/>
              <w:jc w:val="both"/>
              <w:rPr>
                <w:sz w:val="28"/>
                <w:szCs w:val="28"/>
              </w:rPr>
            </w:pPr>
            <w:r>
              <w:rPr>
                <w:sz w:val="28"/>
                <w:szCs w:val="28"/>
              </w:rPr>
            </w:r>
            <w:r>
              <w:rPr>
                <w:sz w:val="28"/>
                <w:szCs w:val="28"/>
              </w:rPr>
            </w:r>
          </w:p>
        </w:tc>
      </w:tr>
    </w:tbl>
    <w:p>
      <w:pPr>
        <w:pBdr/>
        <w:tabs>
          <w:tab w:val="left" w:leader="none" w:pos="180"/>
          <w:tab w:val="left" w:leader="none" w:pos="645"/>
          <w:tab w:val="center" w:leader="none" w:pos="4730"/>
        </w:tabs>
        <w:spacing w:after="120" w:before="120"/>
        <w:ind/>
        <w:jc w:val="center"/>
        <w:outlineLvl w:val="0"/>
        <w:rPr>
          <w:b/>
          <w:sz w:val="28"/>
          <w:szCs w:val="28"/>
        </w:rPr>
      </w:pPr>
      <w:r>
        <w:rPr>
          <w:b/>
          <w:sz w:val="28"/>
          <w:szCs w:val="28"/>
        </w:rPr>
        <w:t xml:space="preserve">TỜ TRÌNH</w:t>
      </w:r>
      <w:r>
        <w:rPr>
          <w:b/>
          <w:sz w:val="28"/>
          <w:szCs w:val="28"/>
        </w:rPr>
      </w:r>
    </w:p>
    <w:p>
      <w:pPr>
        <w:pBdr/>
        <w:spacing/>
        <w:ind w:right="2"/>
        <w:jc w:val="center"/>
        <w:rPr>
          <w:b/>
          <w:sz w:val="28"/>
          <w:szCs w:val="28"/>
          <w:lang w:val="nl-NL"/>
        </w:rPr>
      </w:pPr>
      <w:r/>
      <w:bookmarkStart w:id="1" w:name="_Hlk110955047"/>
      <w:r>
        <w:rPr>
          <w:b/>
          <w:color w:val="000000" w:themeColor="text1"/>
          <w:sz w:val="28"/>
          <w:szCs w:val="28"/>
        </w:rPr>
        <w:t xml:space="preserve">Về việc bãi bỏ Nghị quyết số 16/2019/NQ-HĐND ngày 06/12/2019 quy định về đối tượng cho vay chương trình nước sạch và vệ sinh môi trường đối với hộ gia đình định cư hợp pháp thuộc khu vực đô thị (phường, thị trấn) trên địa bàn tỉnh Long An</w:t>
      </w:r>
      <w:r>
        <w:rPr>
          <w:b/>
          <w:color w:val="000000" w:themeColor="text1"/>
          <w:sz w:val="28"/>
          <w:szCs w:val="28"/>
        </w:rPr>
        <w:t xml:space="preserve"> (trước đây)</w:t>
      </w:r>
      <w:r>
        <w:rPr>
          <w:b/>
          <w:sz w:val="28"/>
          <w:szCs w:val="28"/>
          <w:lang w:val="nl-NL"/>
        </w:rPr>
      </w:r>
    </w:p>
    <w:p>
      <w:pPr>
        <w:pBdr/>
        <w:spacing/>
        <w:ind w:right="2"/>
        <w:jc w:val="center"/>
        <w:rPr>
          <w:rFonts w:eastAsia="SimSun"/>
          <w:b/>
          <w:iCs/>
          <w:sz w:val="28"/>
          <w:szCs w:val="28"/>
          <w:vertAlign w:val="superscript"/>
          <w:lang w:val="nl-NL" w:eastAsia="zh-CN"/>
        </w:rPr>
      </w:pPr>
      <w:r>
        <w:rPr>
          <w:b/>
          <w:sz w:val="28"/>
          <w:szCs w:val="28"/>
          <w:vertAlign w:val="superscript"/>
          <w:lang w:val="nl-NL"/>
        </w:rPr>
        <w:t xml:space="preserve">__________</w:t>
      </w:r>
      <w:r>
        <w:rPr>
          <w:b/>
          <w:sz w:val="28"/>
          <w:szCs w:val="28"/>
          <w:vertAlign w:val="superscript"/>
          <w:lang w:val="nl-NL"/>
        </w:rPr>
        <w:t xml:space="preserve">________</w:t>
      </w:r>
      <w:r>
        <w:rPr>
          <w:b/>
          <w:sz w:val="28"/>
          <w:szCs w:val="28"/>
          <w:vertAlign w:val="superscript"/>
          <w:lang w:val="nl-NL"/>
        </w:rPr>
        <w:t xml:space="preserve">____</w:t>
      </w:r>
      <w:bookmarkEnd w:id="1"/>
      <w:r>
        <w:rPr>
          <w:rFonts w:eastAsia="SimSun"/>
          <w:b/>
          <w:iCs/>
          <w:sz w:val="28"/>
          <w:szCs w:val="28"/>
          <w:vertAlign w:val="superscript"/>
          <w:lang w:val="nl-NL" w:eastAsia="zh-CN"/>
        </w:rPr>
      </w:r>
    </w:p>
    <w:p>
      <w:pPr>
        <w:pBdr/>
        <w:spacing w:after="120"/>
        <w:ind/>
        <w:jc w:val="center"/>
        <w:rPr>
          <w:sz w:val="20"/>
          <w:szCs w:val="20"/>
          <w:lang w:val="es-ES"/>
        </w:rPr>
      </w:pPr>
      <w:r>
        <w:rPr>
          <w:sz w:val="20"/>
          <w:szCs w:val="20"/>
          <w:lang w:val="es-ES"/>
        </w:rPr>
      </w:r>
      <w:r>
        <w:rPr>
          <w:sz w:val="20"/>
          <w:szCs w:val="20"/>
          <w:lang w:val="es-ES"/>
        </w:rPr>
      </w:r>
    </w:p>
    <w:p>
      <w:pPr>
        <w:pBdr/>
        <w:spacing w:after="120" w:before="120"/>
        <w:ind/>
        <w:jc w:val="center"/>
        <w:rPr>
          <w:sz w:val="28"/>
          <w:szCs w:val="28"/>
          <w:lang w:val="es-ES"/>
        </w:rPr>
      </w:pPr>
      <w:r>
        <w:rPr>
          <w:sz w:val="28"/>
          <w:szCs w:val="28"/>
          <w:lang w:val="vi-VN"/>
        </w:rPr>
        <w:t xml:space="preserve">Kính gửi: </w:t>
      </w:r>
      <w:r>
        <w:rPr>
          <w:sz w:val="28"/>
          <w:szCs w:val="28"/>
          <w:lang w:val="es-ES"/>
        </w:rPr>
        <w:t xml:space="preserve">Hội đồng nhân dân tỉnh</w:t>
      </w:r>
      <w:r>
        <w:rPr>
          <w:sz w:val="28"/>
          <w:szCs w:val="28"/>
          <w:lang w:val="es-ES"/>
        </w:rPr>
        <w:t xml:space="preserve"> </w:t>
      </w:r>
      <w:r>
        <w:rPr>
          <w:sz w:val="28"/>
          <w:szCs w:val="28"/>
          <w:lang w:val="es-ES"/>
        </w:rPr>
        <w:t xml:space="preserve">Tây Ni</w:t>
      </w:r>
      <w:r>
        <w:rPr>
          <w:sz w:val="28"/>
          <w:szCs w:val="28"/>
          <w:lang w:val="es-ES"/>
        </w:rPr>
        <w:t xml:space="preserve">nh</w:t>
      </w:r>
      <w:r>
        <w:rPr>
          <w:sz w:val="28"/>
          <w:szCs w:val="28"/>
          <w:lang w:val="es-ES"/>
        </w:rPr>
      </w:r>
    </w:p>
    <w:p>
      <w:pPr>
        <w:pBdr/>
        <w:spacing w:after="120" w:before="120"/>
        <w:ind w:firstLine="709"/>
        <w:jc w:val="center"/>
        <w:rPr>
          <w:i/>
          <w:sz w:val="20"/>
          <w:szCs w:val="20"/>
          <w:lang w:val="es-ES"/>
        </w:rPr>
      </w:pPr>
      <w:r>
        <w:rPr>
          <w:i/>
          <w:sz w:val="20"/>
          <w:szCs w:val="20"/>
          <w:lang w:val="es-ES"/>
        </w:rPr>
      </w:r>
      <w:r>
        <w:rPr>
          <w:i/>
          <w:sz w:val="20"/>
          <w:szCs w:val="20"/>
          <w:lang w:val="es-ES"/>
        </w:rPr>
      </w:r>
    </w:p>
    <w:p>
      <w:pPr>
        <w:pBdr/>
        <w:tabs>
          <w:tab w:val="left" w:leader="none" w:pos="709"/>
        </w:tabs>
        <w:spacing w:before="120" w:line="259" w:lineRule="auto"/>
        <w:ind w:firstLine="709"/>
        <w:jc w:val="both"/>
        <w:rPr>
          <w:color w:val="000000" w:themeColor="text1"/>
          <w:sz w:val="28"/>
          <w:szCs w:val="28"/>
        </w:rPr>
      </w:pPr>
      <w:r>
        <w:rPr>
          <w:color w:val="000000" w:themeColor="text1"/>
          <w:sz w:val="28"/>
          <w:szCs w:val="28"/>
        </w:rPr>
        <w:t xml:space="preserve">Căn cứ Luật Tổ chức chính quyền địa phương ngày 16/6/2025;</w:t>
      </w:r>
      <w:r>
        <w:rPr>
          <w:color w:val="000000" w:themeColor="text1"/>
          <w:sz w:val="28"/>
          <w:szCs w:val="28"/>
        </w:rPr>
      </w:r>
    </w:p>
    <w:p>
      <w:pPr>
        <w:pBdr/>
        <w:tabs>
          <w:tab w:val="left" w:leader="none" w:pos="709"/>
        </w:tabs>
        <w:spacing w:before="120" w:line="259" w:lineRule="auto"/>
        <w:ind w:firstLine="709"/>
        <w:jc w:val="both"/>
        <w:rPr>
          <w:color w:val="000000" w:themeColor="text1"/>
          <w:sz w:val="28"/>
          <w:szCs w:val="28"/>
        </w:rPr>
      </w:pPr>
      <w:r>
        <w:rPr>
          <w:color w:val="000000" w:themeColor="text1"/>
          <w:sz w:val="28"/>
          <w:szCs w:val="28"/>
        </w:rPr>
        <w:t xml:space="preserve">Căn cứ Luật Ban hành văn bản quy phạm pháp luật ngày 19/02/2025; Luật sửa đổi, bổ sung một số điều của Luật Ban hành văn bản quy phạm pháp luật ngày 25/6/2025;</w:t>
      </w:r>
      <w:r>
        <w:rPr>
          <w:color w:val="000000" w:themeColor="text1"/>
          <w:sz w:val="28"/>
          <w:szCs w:val="28"/>
        </w:rPr>
      </w:r>
    </w:p>
    <w:p>
      <w:pPr>
        <w:pBdr/>
        <w:tabs>
          <w:tab w:val="left" w:leader="none" w:pos="709"/>
        </w:tabs>
        <w:spacing w:before="120" w:line="259" w:lineRule="auto"/>
        <w:ind w:firstLine="709"/>
        <w:jc w:val="both"/>
        <w:rPr>
          <w:color w:val="000000" w:themeColor="text1"/>
          <w:sz w:val="28"/>
          <w:szCs w:val="28"/>
        </w:rPr>
      </w:pPr>
      <w:r>
        <w:rPr>
          <w:color w:val="000000" w:themeColor="text1"/>
          <w:sz w:val="28"/>
          <w:szCs w:val="28"/>
        </w:rPr>
        <w:t xml:space="preserve">Căn cứ Nghị quyết số 202/2025/QH15 ngày 12 tháng 6 năm 2025 của Quốc hội về việc sắp xếp đơn vị hành chính cấp tỉnh</w:t>
      </w:r>
      <w:r>
        <w:rPr>
          <w:i/>
          <w:sz w:val="28"/>
          <w:szCs w:val="28"/>
        </w:rPr>
        <w:t xml:space="preserve">;</w:t>
      </w:r>
      <w:r>
        <w:rPr>
          <w:color w:val="000000" w:themeColor="text1"/>
          <w:sz w:val="28"/>
          <w:szCs w:val="28"/>
        </w:rPr>
      </w:r>
    </w:p>
    <w:p>
      <w:pPr>
        <w:pBdr/>
        <w:spacing w:before="120" w:line="259" w:lineRule="auto"/>
        <w:ind w:firstLine="720"/>
        <w:jc w:val="both"/>
        <w:rPr>
          <w:iCs/>
          <w:color w:val="000000" w:themeColor="text1"/>
          <w:sz w:val="28"/>
          <w:szCs w:val="28"/>
        </w:rPr>
      </w:pPr>
      <w:r>
        <w:rPr>
          <w:iCs/>
          <w:color w:val="000000" w:themeColor="text1"/>
          <w:sz w:val="28"/>
          <w:szCs w:val="28"/>
        </w:rPr>
        <w:t xml:space="preserve">Căn cứ Nghị định số 78/2025/NĐ-CP ngày 01/4/2025 của Chính phủ quy định chi tiết một số điều và biện pháp tổ chức, hướng dẫn thi hành Luật Ban hành văn bản quy phạm pháp luật; </w:t>
      </w:r>
      <w:r>
        <w:rPr>
          <w:iCs/>
          <w:color w:val="000000" w:themeColor="text1"/>
          <w:sz w:val="28"/>
          <w:szCs w:val="28"/>
        </w:rPr>
      </w:r>
    </w:p>
    <w:p>
      <w:pPr>
        <w:pBdr/>
        <w:spacing w:before="120" w:line="259" w:lineRule="auto"/>
        <w:ind w:firstLine="720"/>
        <w:jc w:val="both"/>
        <w:rPr>
          <w:i/>
          <w:sz w:val="28"/>
          <w:szCs w:val="28"/>
          <w:lang w:val="es-ES"/>
        </w:rPr>
      </w:pPr>
      <w:r>
        <w:rPr>
          <w:iCs/>
          <w:color w:val="000000" w:themeColor="text1"/>
          <w:sz w:val="28"/>
          <w:szCs w:val="28"/>
        </w:rPr>
        <w:t xml:space="preserve">Căn cứ Nghị định số 187/2025/NĐ-CP ngày 01/7/2025 của Chính phủ về sửa đổi, bổ sung một số điều của Nghị định số 78/2025/NĐ-CP ngày 01/4/2025 </w:t>
      </w:r>
      <w:r>
        <w:rPr>
          <w:iCs/>
          <w:color w:val="000000" w:themeColor="text1"/>
          <w:sz w:val="28"/>
          <w:szCs w:val="28"/>
        </w:rPr>
        <w:t xml:space="preserve">của Chính phủ quy định chi tiết một số điều và biện pháp tổ chức, hướng dẫn thi hành Luật Ban hành văn bản quy phạm pháp luật và Nghị định số 79/2025/NĐ-CP ngày 01/4/2025 của Chính phủ về kiểm tra, rà soát, hệ thống hóa và xử lý văn bản quy phạm pháp luật.</w:t>
      </w:r>
      <w:r>
        <w:rPr>
          <w:i/>
          <w:sz w:val="28"/>
          <w:szCs w:val="28"/>
          <w:lang w:val="es-ES"/>
        </w:rPr>
      </w:r>
    </w:p>
    <w:p>
      <w:pPr>
        <w:pBdr/>
        <w:spacing w:before="120" w:line="259" w:lineRule="auto"/>
        <w:ind w:firstLine="709"/>
        <w:jc w:val="both"/>
        <w:rPr>
          <w:b/>
          <w:bCs/>
          <w:color w:val="000000" w:themeColor="text1"/>
          <w:sz w:val="28"/>
          <w:szCs w:val="28"/>
        </w:rPr>
      </w:pPr>
      <w:r>
        <w:rPr>
          <w:b/>
          <w:bCs/>
          <w:color w:val="000000" w:themeColor="text1"/>
          <w:sz w:val="28"/>
          <w:szCs w:val="28"/>
        </w:rPr>
        <w:t xml:space="preserve">1. Về tính hiệu lực thi hành của các căn cứ pháp lý</w:t>
      </w:r>
      <w:r>
        <w:rPr>
          <w:b/>
          <w:bCs/>
          <w:color w:val="000000" w:themeColor="text1"/>
          <w:sz w:val="28"/>
          <w:szCs w:val="28"/>
        </w:rPr>
        <w:t xml:space="preserve"> ban hành </w:t>
      </w:r>
      <w:r>
        <w:rPr>
          <w:b/>
          <w:color w:val="000000" w:themeColor="text1"/>
          <w:sz w:val="28"/>
          <w:szCs w:val="28"/>
        </w:rPr>
        <w:t xml:space="preserve">Nghị quyết số 16/2019/NQ-HĐND</w:t>
      </w:r>
      <w:r>
        <w:rPr>
          <w:b/>
          <w:bCs/>
          <w:color w:val="000000" w:themeColor="text1"/>
          <w:sz w:val="28"/>
          <w:szCs w:val="28"/>
        </w:rPr>
        <w:t xml:space="preserve">: </w:t>
      </w:r>
      <w:r>
        <w:rPr>
          <w:b/>
          <w:bCs/>
          <w:color w:val="000000" w:themeColor="text1"/>
          <w:sz w:val="28"/>
          <w:szCs w:val="28"/>
        </w:rPr>
      </w:r>
    </w:p>
    <w:p>
      <w:pPr>
        <w:pBdr/>
        <w:spacing w:before="120" w:line="259" w:lineRule="auto"/>
        <w:ind w:firstLine="709"/>
        <w:jc w:val="both"/>
        <w:rPr>
          <w:color w:val="000000" w:themeColor="text1"/>
          <w:sz w:val="28"/>
          <w:szCs w:val="28"/>
        </w:rPr>
      </w:pPr>
      <w:r>
        <w:rPr>
          <w:bCs/>
          <w:color w:val="000000" w:themeColor="text1"/>
          <w:sz w:val="28"/>
          <w:szCs w:val="28"/>
        </w:rPr>
        <w:t xml:space="preserve">Trước đây, </w:t>
      </w:r>
      <w:r>
        <w:rPr>
          <w:color w:val="000000" w:themeColor="text1"/>
          <w:sz w:val="28"/>
          <w:szCs w:val="28"/>
        </w:rPr>
        <w:t xml:space="preserve">Nghị quy</w:t>
      </w:r>
      <w:r>
        <w:rPr>
          <w:color w:val="000000" w:themeColor="text1"/>
          <w:sz w:val="28"/>
          <w:szCs w:val="28"/>
        </w:rPr>
        <w:t xml:space="preserve">ết số 16/2019/NQ-HĐND ngày 06/12/2019 quy định về đối tượng cho vay chương trình nước sạch và vệ sinh môi trường đối với hộ gia đình định cư hợp pháp thuộc khu vực đô thị (phường, thị trấn) trên địa bàn tỉnh Long An được ban hành dựa trên căn cứ pháp lý: </w:t>
      </w:r>
      <w:r>
        <w:rPr>
          <w:color w:val="000000" w:themeColor="text1"/>
          <w:sz w:val="28"/>
          <w:szCs w:val="28"/>
        </w:rPr>
      </w:r>
    </w:p>
    <w:p>
      <w:pPr>
        <w:pBdr/>
        <w:spacing w:before="120" w:line="259" w:lineRule="auto"/>
        <w:ind w:firstLine="709"/>
        <w:jc w:val="both"/>
        <w:rPr>
          <w:bCs/>
          <w:color w:val="000000" w:themeColor="text1"/>
          <w:sz w:val="28"/>
          <w:szCs w:val="28"/>
        </w:rPr>
      </w:pPr>
      <w:r>
        <w:rPr>
          <w:bCs/>
          <w:color w:val="000000" w:themeColor="text1"/>
          <w:sz w:val="28"/>
          <w:szCs w:val="28"/>
        </w:rPr>
        <w:t xml:space="preserve">- Quyết định số 62/2004/QĐ-TTg ngày 16/4/2004 của Thủ Tướng Chính phủ về tín dụng thực hiện Chiến lược quốc gia về cấp nước sạch và vệ sinh môi trường nông thôn. </w:t>
      </w:r>
      <w:r>
        <w:rPr>
          <w:bCs/>
          <w:color w:val="000000" w:themeColor="text1"/>
          <w:sz w:val="28"/>
          <w:szCs w:val="28"/>
        </w:rPr>
      </w:r>
    </w:p>
    <w:p>
      <w:pPr>
        <w:pBdr/>
        <w:spacing w:before="120" w:line="259" w:lineRule="auto"/>
        <w:ind w:firstLine="709"/>
        <w:jc w:val="both"/>
        <w:rPr>
          <w:bCs/>
          <w:color w:val="000000" w:themeColor="text1"/>
          <w:sz w:val="28"/>
          <w:szCs w:val="28"/>
        </w:rPr>
      </w:pPr>
      <w:r>
        <w:rPr>
          <w:bCs/>
          <w:color w:val="000000" w:themeColor="text1"/>
          <w:sz w:val="28"/>
          <w:szCs w:val="28"/>
        </w:rPr>
        <w:t xml:space="preserve">-</w:t>
      </w:r>
      <w:r>
        <w:rPr>
          <w:bCs/>
          <w:color w:val="000000" w:themeColor="text1"/>
          <w:sz w:val="28"/>
          <w:szCs w:val="28"/>
        </w:rPr>
        <w:t xml:space="preserve"> Quyết định số 18/2014/QĐ-TTg ngày 03/3/2014 của Thủ tướng Chính phủ sửa đổi, bổ sung Điều 3 Quyết định số 62/2004/QĐ-TTg ngày 16/4/2004 của Thủ Tướng Chính phủ về tín dụng thực hiện Chiến lược quốc gia về cấp nước sạch và vệ sinh môi trường nông thôn. </w:t>
      </w:r>
      <w:r>
        <w:rPr>
          <w:bCs/>
          <w:color w:val="000000" w:themeColor="text1"/>
          <w:sz w:val="28"/>
          <w:szCs w:val="28"/>
        </w:rPr>
      </w:r>
    </w:p>
    <w:p>
      <w:pPr>
        <w:pBdr/>
        <w:spacing w:before="120" w:line="259" w:lineRule="auto"/>
        <w:ind w:firstLine="709"/>
        <w:jc w:val="both"/>
        <w:rPr>
          <w:bCs/>
          <w:color w:val="000000" w:themeColor="text1"/>
          <w:sz w:val="28"/>
          <w:szCs w:val="28"/>
        </w:rPr>
      </w:pPr>
      <w:r>
        <w:rPr>
          <w:bCs/>
          <w:color w:val="000000" w:themeColor="text1"/>
          <w:sz w:val="28"/>
          <w:szCs w:val="28"/>
        </w:rPr>
        <w:t xml:space="preserve">- Quyết định số 1205/QĐ-TTg ngày 19/9/2018 của Thủ tướng Chính phủ điều chỉnh mức vay tín dụng tối đa thực hiện Chiến lược quốc gia về cấp nước sạch và vệ sinh môi trường nông thôn.</w:t>
      </w:r>
      <w:r>
        <w:rPr>
          <w:bCs/>
          <w:color w:val="000000" w:themeColor="text1"/>
          <w:sz w:val="28"/>
          <w:szCs w:val="28"/>
        </w:rPr>
      </w:r>
    </w:p>
    <w:p>
      <w:pPr>
        <w:pBdr/>
        <w:spacing w:before="120" w:line="259" w:lineRule="auto"/>
        <w:ind w:firstLine="709"/>
        <w:jc w:val="both"/>
        <w:rPr>
          <w:bCs/>
          <w:color w:val="000000" w:themeColor="text1"/>
          <w:sz w:val="28"/>
          <w:szCs w:val="28"/>
        </w:rPr>
      </w:pPr>
      <w:r>
        <w:rPr>
          <w:bCs/>
          <w:color w:val="000000" w:themeColor="text1"/>
          <w:sz w:val="28"/>
          <w:szCs w:val="28"/>
        </w:rPr>
        <w:t xml:space="preserve">Hiện nay, Quyết định số 10/2024/QĐ-TTg </w:t>
      </w:r>
      <w:r>
        <w:rPr>
          <w:bCs/>
          <w:color w:val="000000" w:themeColor="text1"/>
          <w:sz w:val="28"/>
          <w:szCs w:val="28"/>
        </w:rPr>
        <w:t xml:space="preserve">ngày 15/7/2024 của Thủ tướng chính phủ </w:t>
      </w:r>
      <w:r>
        <w:rPr>
          <w:bCs/>
          <w:color w:val="000000" w:themeColor="text1"/>
          <w:sz w:val="28"/>
          <w:szCs w:val="28"/>
        </w:rPr>
        <w:t xml:space="preserve">về tín dụng thực hiện cấp nước sạch và vệ sinh môi trường có hiệu lực thi hành từ ngày 02/9/2024 có quy định: </w:t>
      </w:r>
      <w:r>
        <w:rPr>
          <w:bCs/>
          <w:color w:val="000000" w:themeColor="text1"/>
          <w:sz w:val="28"/>
          <w:szCs w:val="28"/>
        </w:rPr>
      </w:r>
    </w:p>
    <w:p>
      <w:pPr>
        <w:pBdr/>
        <w:spacing w:before="120" w:line="259" w:lineRule="auto"/>
        <w:ind w:firstLine="709"/>
        <w:jc w:val="both"/>
        <w:rPr>
          <w:bCs/>
          <w:i/>
          <w:color w:val="000000" w:themeColor="text1"/>
          <w:sz w:val="28"/>
          <w:szCs w:val="28"/>
        </w:rPr>
      </w:pPr>
      <w:r/>
      <w:bookmarkStart w:id="2" w:name="dieu_1"/>
      <w:r>
        <w:rPr>
          <w:bCs/>
          <w:i/>
          <w:color w:val="000000" w:themeColor="text1"/>
          <w:sz w:val="28"/>
          <w:szCs w:val="28"/>
        </w:rPr>
        <w:t xml:space="preserve">“Điều 1. Phạm vi điều chỉnh</w:t>
      </w:r>
      <w:bookmarkEnd w:id="2"/>
      <w:r/>
      <w:r>
        <w:rPr>
          <w:bCs/>
          <w:i/>
          <w:color w:val="000000" w:themeColor="text1"/>
          <w:sz w:val="28"/>
          <w:szCs w:val="28"/>
        </w:rPr>
      </w:r>
    </w:p>
    <w:p>
      <w:pPr>
        <w:pBdr/>
        <w:spacing w:before="120" w:line="259" w:lineRule="auto"/>
        <w:ind w:firstLine="709"/>
        <w:jc w:val="both"/>
        <w:rPr>
          <w:bCs/>
          <w:i/>
          <w:color w:val="000000" w:themeColor="text1"/>
          <w:sz w:val="28"/>
          <w:szCs w:val="28"/>
        </w:rPr>
      </w:pPr>
      <w:r>
        <w:rPr>
          <w:bCs/>
          <w:i/>
          <w:color w:val="000000" w:themeColor="text1"/>
          <w:sz w:val="28"/>
          <w:szCs w:val="28"/>
        </w:rPr>
        <w:t xml:space="preserve">Quyết định này quy định về chính sách tín dụng cấp nước sạch và vệ sinh môi trường </w:t>
      </w:r>
      <w:r>
        <w:rPr>
          <w:bCs/>
          <w:i/>
          <w:color w:val="000000" w:themeColor="text1"/>
          <w:sz w:val="28"/>
          <w:szCs w:val="28"/>
          <w:u w:val="single"/>
        </w:rPr>
        <w:t xml:space="preserve">nông thôn</w:t>
      </w:r>
      <w:r>
        <w:rPr>
          <w:bCs/>
          <w:i/>
          <w:color w:val="000000" w:themeColor="text1"/>
          <w:sz w:val="28"/>
          <w:szCs w:val="28"/>
        </w:rPr>
        <w:t xml:space="preserve"> thực hiện Chiến lược quốc gia về cấp nước sạch và vệ sinh </w:t>
      </w:r>
      <w:r>
        <w:rPr>
          <w:bCs/>
          <w:i/>
          <w:color w:val="000000" w:themeColor="text1"/>
          <w:sz w:val="28"/>
          <w:szCs w:val="28"/>
          <w:u w:val="single"/>
        </w:rPr>
        <w:t xml:space="preserve">nông thôn</w:t>
      </w:r>
      <w:r>
        <w:rPr>
          <w:bCs/>
          <w:i/>
          <w:color w:val="000000" w:themeColor="text1"/>
          <w:sz w:val="28"/>
          <w:szCs w:val="28"/>
        </w:rPr>
        <w:t xml:space="preserve"> đến năm 2030, tầm nhìn đến năm 2045 theo Quyết định số </w:t>
      </w:r>
      <w:bookmarkStart w:id="3" w:name="tvpllink_lbxwkgvalk"/>
      <w:r>
        <w:rPr>
          <w:bCs/>
          <w:i/>
          <w:color w:val="000000" w:themeColor="text1"/>
          <w:sz w:val="28"/>
          <w:szCs w:val="28"/>
        </w:rPr>
        <w:fldChar w:fldCharType="begin"/>
      </w:r>
      <w:r>
        <w:rPr>
          <w:bCs/>
          <w:i/>
          <w:color w:val="000000" w:themeColor="text1"/>
          <w:sz w:val="28"/>
          <w:szCs w:val="28"/>
        </w:rPr>
        <w:instrText xml:space="preserve"> HYPERLINK "https://thuvienphapluat.vn/van-ban/Tai-nguyen-Moi-truong/Quyet-dinh-1978-QD-TTg-2021-Chien-luoc-quoc-gia-cap-nuoc-sach-ve-sinh-nong-thon-495543.aspx" \t "_blank" </w:instrText>
      </w:r>
      <w:r>
        <w:rPr>
          <w:bCs/>
          <w:i/>
          <w:color w:val="000000" w:themeColor="text1"/>
          <w:sz w:val="28"/>
          <w:szCs w:val="28"/>
        </w:rPr>
        <w:fldChar w:fldCharType="separate"/>
      </w:r>
      <w:r>
        <w:rPr>
          <w:bCs/>
          <w:i/>
          <w:color w:val="000000" w:themeColor="text1"/>
          <w:sz w:val="28"/>
          <w:szCs w:val="28"/>
        </w:rPr>
        <w:t xml:space="preserve">1978/QĐ-TTg</w:t>
      </w:r>
      <w:r>
        <w:rPr>
          <w:bCs/>
          <w:i/>
          <w:color w:val="000000" w:themeColor="text1"/>
          <w:sz w:val="28"/>
          <w:szCs w:val="28"/>
        </w:rPr>
        <w:fldChar w:fldCharType="end"/>
      </w:r>
      <w:bookmarkEnd w:id="3"/>
      <w:r>
        <w:rPr>
          <w:bCs/>
          <w:i/>
          <w:color w:val="000000" w:themeColor="text1"/>
          <w:sz w:val="28"/>
          <w:szCs w:val="28"/>
        </w:rPr>
        <w:t xml:space="preserve"> ngày 24 tháng 11 năm 2021 của Thủ tướng Chính phủ để cho vay đầu tư xây dựng mới, nâng cấp, cải tạo, sửa chữa 02 loại công trình, bao gồm:</w:t>
      </w:r>
      <w:r>
        <w:rPr>
          <w:bCs/>
          <w:i/>
          <w:color w:val="000000" w:themeColor="text1"/>
          <w:sz w:val="28"/>
          <w:szCs w:val="28"/>
        </w:rPr>
      </w:r>
    </w:p>
    <w:p>
      <w:pPr>
        <w:pBdr/>
        <w:spacing w:before="120" w:line="259" w:lineRule="auto"/>
        <w:ind w:firstLine="709"/>
        <w:jc w:val="both"/>
        <w:rPr>
          <w:bCs/>
          <w:i/>
          <w:color w:val="000000" w:themeColor="text1"/>
          <w:sz w:val="28"/>
          <w:szCs w:val="28"/>
        </w:rPr>
      </w:pPr>
      <w:r>
        <w:rPr>
          <w:bCs/>
          <w:i/>
          <w:color w:val="000000" w:themeColor="text1"/>
          <w:sz w:val="28"/>
          <w:szCs w:val="28"/>
        </w:rPr>
        <w:t xml:space="preserve">1. Công trình cấp nước quy mô hộ gia đình.</w:t>
      </w:r>
      <w:r>
        <w:rPr>
          <w:bCs/>
          <w:i/>
          <w:color w:val="000000" w:themeColor="text1"/>
          <w:sz w:val="28"/>
          <w:szCs w:val="28"/>
        </w:rPr>
      </w:r>
    </w:p>
    <w:p>
      <w:pPr>
        <w:pBdr/>
        <w:spacing w:before="120" w:line="259" w:lineRule="auto"/>
        <w:ind w:firstLine="709"/>
        <w:jc w:val="both"/>
        <w:rPr>
          <w:bCs/>
          <w:i/>
          <w:color w:val="000000" w:themeColor="text1"/>
          <w:sz w:val="28"/>
          <w:szCs w:val="28"/>
        </w:rPr>
      </w:pPr>
      <w:r>
        <w:rPr>
          <w:bCs/>
          <w:i/>
          <w:color w:val="000000" w:themeColor="text1"/>
          <w:sz w:val="28"/>
          <w:szCs w:val="28"/>
        </w:rPr>
        <w:t xml:space="preserve">2. Công trình vệ sinh môi trường hộ gia đình.”</w:t>
      </w:r>
      <w:r>
        <w:rPr>
          <w:bCs/>
          <w:i/>
          <w:color w:val="000000" w:themeColor="text1"/>
          <w:sz w:val="28"/>
          <w:szCs w:val="28"/>
        </w:rPr>
      </w:r>
    </w:p>
    <w:p>
      <w:pPr>
        <w:pBdr/>
        <w:spacing w:before="120" w:line="259" w:lineRule="auto"/>
        <w:ind w:firstLine="709"/>
        <w:jc w:val="both"/>
        <w:rPr>
          <w:bCs/>
          <w:i/>
          <w:color w:val="000000" w:themeColor="text1"/>
          <w:sz w:val="28"/>
          <w:szCs w:val="28"/>
        </w:rPr>
      </w:pPr>
      <w:r>
        <w:rPr>
          <w:b/>
          <w:bCs/>
          <w:color w:val="000000" w:themeColor="text1"/>
          <w:sz w:val="28"/>
          <w:szCs w:val="28"/>
        </w:rPr>
        <w:t xml:space="preserve">“</w:t>
      </w:r>
      <w:bookmarkStart w:id="4" w:name="dieu_17"/>
      <w:r>
        <w:rPr>
          <w:bCs/>
          <w:i/>
          <w:color w:val="000000" w:themeColor="text1"/>
          <w:sz w:val="28"/>
          <w:szCs w:val="28"/>
        </w:rPr>
        <w:t xml:space="preserve">Điều 17. Hiệu lực thi hành</w:t>
      </w:r>
      <w:bookmarkEnd w:id="4"/>
      <w:r/>
      <w:r>
        <w:rPr>
          <w:bCs/>
          <w:i/>
          <w:color w:val="000000" w:themeColor="text1"/>
          <w:sz w:val="28"/>
          <w:szCs w:val="28"/>
        </w:rPr>
      </w:r>
    </w:p>
    <w:p>
      <w:pPr>
        <w:pBdr/>
        <w:spacing w:before="120" w:line="259" w:lineRule="auto"/>
        <w:ind w:firstLine="709"/>
        <w:jc w:val="both"/>
        <w:rPr>
          <w:bCs/>
          <w:i/>
          <w:color w:val="000000" w:themeColor="text1"/>
          <w:sz w:val="28"/>
          <w:szCs w:val="28"/>
        </w:rPr>
      </w:pPr>
      <w:r>
        <w:rPr>
          <w:bCs/>
          <w:i/>
          <w:color w:val="000000" w:themeColor="text1"/>
          <w:sz w:val="28"/>
          <w:szCs w:val="28"/>
        </w:rPr>
        <w:t xml:space="preserve">1. Quyết định này có hiệu lực thi hành từ ngày 02 tháng 9 năm 2024.</w:t>
      </w:r>
      <w:r>
        <w:rPr>
          <w:bCs/>
          <w:i/>
          <w:color w:val="000000" w:themeColor="text1"/>
          <w:sz w:val="28"/>
          <w:szCs w:val="28"/>
        </w:rPr>
      </w:r>
    </w:p>
    <w:p>
      <w:pPr>
        <w:pBdr/>
        <w:spacing w:before="120" w:line="259" w:lineRule="auto"/>
        <w:ind w:firstLine="709"/>
        <w:jc w:val="both"/>
        <w:rPr>
          <w:bCs/>
          <w:i/>
          <w:color w:val="000000" w:themeColor="text1"/>
          <w:sz w:val="28"/>
          <w:szCs w:val="28"/>
        </w:rPr>
      </w:pPr>
      <w:r>
        <w:rPr>
          <w:bCs/>
          <w:i/>
          <w:color w:val="000000" w:themeColor="text1"/>
          <w:sz w:val="28"/>
          <w:szCs w:val="28"/>
        </w:rPr>
        <w:t xml:space="preserve">2. Quyết định này thay thế các Quyết định số </w:t>
      </w:r>
      <w:bookmarkStart w:id="5" w:name="tvpllink_qgbkgoirkc"/>
      <w:r>
        <w:rPr>
          <w:bCs/>
          <w:i/>
          <w:color w:val="000000" w:themeColor="text1"/>
          <w:sz w:val="28"/>
          <w:szCs w:val="28"/>
        </w:rPr>
        <w:fldChar w:fldCharType="begin"/>
      </w:r>
      <w:r>
        <w:rPr>
          <w:bCs/>
          <w:i/>
          <w:color w:val="000000" w:themeColor="text1"/>
          <w:sz w:val="28"/>
          <w:szCs w:val="28"/>
        </w:rPr>
        <w:instrText xml:space="preserve"> HYPERLINK "https://thuvienphapluat.vn/van-ban/Tai-nguyen-Moi-truong/Quyet-dinh-62-2004-QD-TTg-tin-dung-thuc-hien-Chien-luoc-quoc-gia-cap-nuoc-sach-ve-sinh-moi-truong-nong-thon-52052.aspx" \t "_blank" </w:instrText>
      </w:r>
      <w:r>
        <w:rPr>
          <w:bCs/>
          <w:i/>
          <w:color w:val="000000" w:themeColor="text1"/>
          <w:sz w:val="28"/>
          <w:szCs w:val="28"/>
        </w:rPr>
        <w:fldChar w:fldCharType="separate"/>
      </w:r>
      <w:r>
        <w:rPr>
          <w:bCs/>
          <w:i/>
          <w:color w:val="000000" w:themeColor="text1"/>
          <w:sz w:val="28"/>
          <w:szCs w:val="28"/>
        </w:rPr>
        <w:t xml:space="preserve">62/2004/QĐ-TTg</w:t>
      </w:r>
      <w:r>
        <w:rPr>
          <w:bCs/>
          <w:i/>
          <w:color w:val="000000" w:themeColor="text1"/>
          <w:sz w:val="28"/>
          <w:szCs w:val="28"/>
        </w:rPr>
        <w:fldChar w:fldCharType="end"/>
      </w:r>
      <w:bookmarkEnd w:id="5"/>
      <w:r>
        <w:rPr>
          <w:bCs/>
          <w:i/>
          <w:color w:val="000000" w:themeColor="text1"/>
          <w:sz w:val="28"/>
          <w:szCs w:val="28"/>
        </w:rPr>
        <w:t xml:space="preserve"> ngày 16 tháng 4 năm 2004 của Thủ tướng Chính phủ về tín dụng thực hiện Chiến lược quốc gia về cấp nước sạch và vệ sinh môi trường nông thôn, Quyết định số </w:t>
      </w:r>
      <w:bookmarkStart w:id="6" w:name="tvpllink_pmodlbagal"/>
      <w:r>
        <w:rPr>
          <w:bCs/>
          <w:i/>
          <w:color w:val="000000" w:themeColor="text1"/>
          <w:sz w:val="28"/>
          <w:szCs w:val="28"/>
        </w:rPr>
        <w:fldChar w:fldCharType="begin"/>
      </w:r>
      <w:r>
        <w:rPr>
          <w:bCs/>
          <w:i/>
          <w:color w:val="000000" w:themeColor="text1"/>
          <w:sz w:val="28"/>
          <w:szCs w:val="28"/>
        </w:rPr>
        <w:instrText xml:space="preserve"> HYPERLINK "https://thuvienphapluat.vn/van-ban/Tai-chinh-nha-nuoc/Quyet-dinh-18-2014-QD-TTg-tin-dung-cap-nuoc-sach-ve-sinh-moi-truong-nong-thon-222291.aspx" \t "_blank" </w:instrText>
      </w:r>
      <w:r>
        <w:rPr>
          <w:bCs/>
          <w:i/>
          <w:color w:val="000000" w:themeColor="text1"/>
          <w:sz w:val="28"/>
          <w:szCs w:val="28"/>
        </w:rPr>
        <w:fldChar w:fldCharType="separate"/>
      </w:r>
      <w:r>
        <w:rPr>
          <w:bCs/>
          <w:i/>
          <w:color w:val="000000" w:themeColor="text1"/>
          <w:sz w:val="28"/>
          <w:szCs w:val="28"/>
        </w:rPr>
        <w:t xml:space="preserve">18/2014/QĐ-TTg</w:t>
      </w:r>
      <w:r>
        <w:rPr>
          <w:bCs/>
          <w:i/>
          <w:color w:val="000000" w:themeColor="text1"/>
          <w:sz w:val="28"/>
          <w:szCs w:val="28"/>
        </w:rPr>
        <w:fldChar w:fldCharType="end"/>
      </w:r>
      <w:bookmarkEnd w:id="6"/>
      <w:r>
        <w:rPr>
          <w:bCs/>
          <w:i/>
          <w:color w:val="000000" w:themeColor="text1"/>
          <w:sz w:val="28"/>
          <w:szCs w:val="28"/>
        </w:rPr>
        <w:t xml:space="preserve"> ngày 03 tháng 3 năm 2014 của Thủ tướng Chính phủ sửa đổi, bổ sung Điều 3 của Quyết định số </w:t>
      </w:r>
      <w:bookmarkStart w:id="7" w:name="tvpllink_qgbkgoirkc_1"/>
      <w:r>
        <w:rPr>
          <w:bCs/>
          <w:i/>
          <w:color w:val="000000" w:themeColor="text1"/>
          <w:sz w:val="28"/>
          <w:szCs w:val="28"/>
        </w:rPr>
        <w:fldChar w:fldCharType="begin"/>
      </w:r>
      <w:r>
        <w:rPr>
          <w:bCs/>
          <w:i/>
          <w:color w:val="000000" w:themeColor="text1"/>
          <w:sz w:val="28"/>
          <w:szCs w:val="28"/>
        </w:rPr>
        <w:instrText xml:space="preserve"> HYPERLINK "https://thuvienphapluat.vn/van-ban/Tai-nguyen-Moi-truong/Quyet-dinh-62-2004-QD-TTg-tin-dung-thuc-hien-Chien-luoc-quoc-gia-cap-nuoc-sach-ve-sinh-moi-truong-nong-thon-52052.aspx" \t "_blank" </w:instrText>
      </w:r>
      <w:r>
        <w:rPr>
          <w:bCs/>
          <w:i/>
          <w:color w:val="000000" w:themeColor="text1"/>
          <w:sz w:val="28"/>
          <w:szCs w:val="28"/>
        </w:rPr>
        <w:fldChar w:fldCharType="separate"/>
      </w:r>
      <w:r>
        <w:rPr>
          <w:bCs/>
          <w:i/>
          <w:color w:val="000000" w:themeColor="text1"/>
          <w:sz w:val="28"/>
          <w:szCs w:val="28"/>
        </w:rPr>
        <w:t xml:space="preserve">62/2004/QĐ-TTg</w:t>
      </w:r>
      <w:r>
        <w:rPr>
          <w:bCs/>
          <w:i/>
          <w:color w:val="000000" w:themeColor="text1"/>
          <w:sz w:val="28"/>
          <w:szCs w:val="28"/>
        </w:rPr>
        <w:fldChar w:fldCharType="end"/>
      </w:r>
      <w:bookmarkEnd w:id="7"/>
      <w:r>
        <w:rPr>
          <w:bCs/>
          <w:i/>
          <w:color w:val="000000" w:themeColor="text1"/>
          <w:sz w:val="28"/>
          <w:szCs w:val="28"/>
        </w:rPr>
        <w:t xml:space="preserve">.</w:t>
      </w:r>
      <w:r>
        <w:rPr>
          <w:bCs/>
          <w:i/>
          <w:color w:val="000000" w:themeColor="text1"/>
          <w:sz w:val="28"/>
          <w:szCs w:val="28"/>
        </w:rPr>
      </w:r>
    </w:p>
    <w:p>
      <w:pPr>
        <w:pBdr/>
        <w:spacing w:before="120" w:line="259" w:lineRule="auto"/>
        <w:ind w:firstLine="709"/>
        <w:jc w:val="both"/>
        <w:rPr>
          <w:bCs/>
          <w:i/>
          <w:color w:val="000000" w:themeColor="text1"/>
          <w:sz w:val="28"/>
          <w:szCs w:val="28"/>
        </w:rPr>
      </w:pPr>
      <w:r>
        <w:rPr>
          <w:bCs/>
          <w:i/>
          <w:color w:val="000000" w:themeColor="text1"/>
          <w:sz w:val="28"/>
          <w:szCs w:val="28"/>
        </w:rPr>
        <w:t xml:space="preserve">3. Bãi bỏ Quyết định số </w:t>
      </w:r>
      <w:bookmarkStart w:id="8" w:name="tvpllink_vemujtekld"/>
      <w:r>
        <w:rPr>
          <w:bCs/>
          <w:i/>
          <w:color w:val="000000" w:themeColor="text1"/>
          <w:sz w:val="28"/>
          <w:szCs w:val="28"/>
        </w:rPr>
        <w:fldChar w:fldCharType="begin"/>
      </w:r>
      <w:r>
        <w:rPr>
          <w:bCs/>
          <w:i/>
          <w:color w:val="000000" w:themeColor="text1"/>
          <w:sz w:val="28"/>
          <w:szCs w:val="28"/>
        </w:rPr>
        <w:instrText xml:space="preserve"> HYPERLINK "https://thuvienphapluat.vn/van-ban/Tien-te-Ngan-hang/Quyet-dinh-1205-QD-TTg-2018-muc-vay-tin-dung-toi-da-thuc-hien-chien-luoc-quoc-gia-ve-cap-nuoc-sach-394826.aspx" \t "_blank" </w:instrText>
      </w:r>
      <w:r>
        <w:rPr>
          <w:bCs/>
          <w:i/>
          <w:color w:val="000000" w:themeColor="text1"/>
          <w:sz w:val="28"/>
          <w:szCs w:val="28"/>
        </w:rPr>
        <w:fldChar w:fldCharType="separate"/>
      </w:r>
      <w:r>
        <w:rPr>
          <w:bCs/>
          <w:i/>
          <w:color w:val="000000" w:themeColor="text1"/>
          <w:sz w:val="28"/>
          <w:szCs w:val="28"/>
        </w:rPr>
        <w:t xml:space="preserve">1205/QĐ-TTg</w:t>
      </w:r>
      <w:r>
        <w:rPr>
          <w:bCs/>
          <w:i/>
          <w:color w:val="000000" w:themeColor="text1"/>
          <w:sz w:val="28"/>
          <w:szCs w:val="28"/>
        </w:rPr>
        <w:fldChar w:fldCharType="end"/>
      </w:r>
      <w:bookmarkEnd w:id="8"/>
      <w:r>
        <w:rPr>
          <w:bCs/>
          <w:i/>
          <w:color w:val="000000" w:themeColor="text1"/>
          <w:sz w:val="28"/>
          <w:szCs w:val="28"/>
        </w:rPr>
        <w:t xml:space="preserve"> ngày 19 tháng 9 năm 2018 của Thủ tướng Chính phủ điều chỉnh mức vay tín dụng tối đa thực hiện Chiến lược quốc gia về cấp nước sạch và vệ sinh môi trường nông thôn.”</w:t>
      </w:r>
      <w:r>
        <w:rPr>
          <w:bCs/>
          <w:i/>
          <w:color w:val="000000" w:themeColor="text1"/>
          <w:sz w:val="28"/>
          <w:szCs w:val="28"/>
        </w:rPr>
      </w:r>
    </w:p>
    <w:p>
      <w:pPr>
        <w:pBdr/>
        <w:spacing w:before="120" w:line="259" w:lineRule="auto"/>
        <w:ind w:firstLine="709"/>
        <w:jc w:val="both"/>
        <w:rPr>
          <w:color w:val="000000" w:themeColor="text1"/>
          <w:spacing w:val="-2"/>
          <w:sz w:val="28"/>
          <w:szCs w:val="28"/>
          <w:lang w:val="vi-VN"/>
        </w:rPr>
      </w:pPr>
      <w:r>
        <w:rPr>
          <w:color w:val="000000" w:themeColor="text1"/>
          <w:sz w:val="28"/>
          <w:szCs w:val="28"/>
        </w:rPr>
        <w:t xml:space="preserve">Nhận thấy các căn cứ pháp lý quan trọng của Nghị quyết số 16/2019/NQ-HĐND đã được thay thế, cũng như phạm vi điều chỉnh của quy định pháp luật mới thay thế không phù hợp với Nghị quyết số 16/2019/NQ-HĐND</w:t>
      </w:r>
      <w:r>
        <w:rPr>
          <w:color w:val="000000" w:themeColor="text1"/>
          <w:sz w:val="28"/>
          <w:szCs w:val="28"/>
        </w:rPr>
        <w:t xml:space="preserve">.</w:t>
      </w:r>
      <w:r>
        <w:rPr>
          <w:color w:val="000000" w:themeColor="text1"/>
          <w:spacing w:val="-2"/>
          <w:sz w:val="28"/>
          <w:szCs w:val="28"/>
          <w:lang w:val="vi-VN"/>
        </w:rPr>
      </w:r>
    </w:p>
    <w:p>
      <w:pPr>
        <w:pBdr/>
        <w:spacing w:before="120" w:line="259" w:lineRule="auto"/>
        <w:ind w:firstLine="709"/>
        <w:jc w:val="both"/>
        <w:rPr>
          <w:b/>
          <w:color w:val="000000" w:themeColor="text1"/>
          <w:spacing w:val="-2"/>
          <w:sz w:val="28"/>
          <w:szCs w:val="28"/>
        </w:rPr>
      </w:pPr>
      <w:r>
        <w:rPr>
          <w:b/>
          <w:color w:val="000000" w:themeColor="text1"/>
          <w:spacing w:val="-2"/>
          <w:sz w:val="28"/>
          <w:szCs w:val="28"/>
        </w:rPr>
        <w:t xml:space="preserve">2. Về tính đồng bộ của Nghị quyết sau khi sáp nhập: </w:t>
      </w:r>
      <w:r>
        <w:rPr>
          <w:b/>
          <w:color w:val="000000" w:themeColor="text1"/>
          <w:spacing w:val="-2"/>
          <w:sz w:val="28"/>
          <w:szCs w:val="28"/>
        </w:rPr>
      </w:r>
    </w:p>
    <w:p>
      <w:pPr>
        <w:pBdr/>
        <w:spacing w:before="120" w:line="259" w:lineRule="auto"/>
        <w:ind w:firstLine="709"/>
        <w:jc w:val="both"/>
        <w:rPr>
          <w:color w:val="000000" w:themeColor="text1"/>
          <w:sz w:val="28"/>
          <w:szCs w:val="28"/>
        </w:rPr>
      </w:pPr>
      <w:r>
        <w:rPr>
          <w:color w:val="000000" w:themeColor="text1"/>
          <w:sz w:val="28"/>
          <w:szCs w:val="28"/>
        </w:rPr>
        <w:t xml:space="preserve">Ngoài ra, tỉnh Tây Ninh (trước khi hợp nhất) không ban hành nghị quyết quy định về đối tượng cho vay chương trình nước sạch và vệ sinh môi trường đối với hộ gia đình định cư</w:t>
      </w:r>
      <w:r>
        <w:rPr>
          <w:color w:val="000000" w:themeColor="text1"/>
          <w:sz w:val="28"/>
          <w:szCs w:val="28"/>
        </w:rPr>
        <w:t xml:space="preserve"> hợp pháp thuộc khu vực đô thị và chưa đồng bộ cho toàn tỉnh Tây Ninh hiện nay. </w:t>
      </w:r>
      <w:r>
        <w:rPr>
          <w:color w:val="000000" w:themeColor="text1"/>
          <w:sz w:val="28"/>
          <w:szCs w:val="28"/>
        </w:rPr>
      </w:r>
    </w:p>
    <w:p>
      <w:pPr>
        <w:pBdr/>
        <w:spacing w:before="120" w:line="259" w:lineRule="auto"/>
        <w:ind w:firstLine="709"/>
        <w:jc w:val="both"/>
        <w:rPr>
          <w:color w:val="000000" w:themeColor="text1"/>
          <w:sz w:val="28"/>
          <w:szCs w:val="28"/>
        </w:rPr>
      </w:pPr>
      <w:r>
        <w:rPr>
          <w:color w:val="000000" w:themeColor="text1"/>
          <w:sz w:val="28"/>
          <w:szCs w:val="28"/>
        </w:rPr>
        <w:t xml:space="preserve">Do đó, việc bãi bỏ </w:t>
      </w:r>
      <w:r>
        <w:rPr>
          <w:color w:val="000000" w:themeColor="text1"/>
          <w:sz w:val="28"/>
          <w:szCs w:val="28"/>
        </w:rPr>
        <w:t xml:space="preserve">Nghị quyết số 16/2019/NQ-HĐND ngày 06/12/2019 quy định về đối tượng cho vay chương trình nước sạch và vệ sinh môi trường đối với hộ gia đình định cư hợp pháp thuộc khu vực đô thị (phường, thị trấn) trên địa bàn tỉnh Long An (trước đây) </w:t>
      </w:r>
      <w:r>
        <w:rPr>
          <w:color w:val="000000" w:themeColor="text1"/>
          <w:sz w:val="28"/>
          <w:szCs w:val="28"/>
        </w:rPr>
        <w:t xml:space="preserve">là cần thiết</w:t>
      </w:r>
      <w:r>
        <w:rPr>
          <w:color w:val="000000" w:themeColor="text1"/>
          <w:sz w:val="28"/>
          <w:szCs w:val="28"/>
        </w:rPr>
        <w:t xml:space="preserve">,</w:t>
      </w:r>
      <w:r>
        <w:rPr>
          <w:color w:val="000000" w:themeColor="text1"/>
          <w:sz w:val="28"/>
          <w:szCs w:val="28"/>
        </w:rPr>
        <w:t xml:space="preserve"> nhằm thống nhất chính sách hỗ trợ trong toàn tỉnh Tây Ninh (sau </w:t>
      </w:r>
      <w:r>
        <w:rPr>
          <w:color w:val="000000" w:themeColor="text1"/>
          <w:sz w:val="28"/>
          <w:szCs w:val="28"/>
        </w:rPr>
        <w:t xml:space="preserve">hợp nhất</w:t>
      </w:r>
      <w:r>
        <w:rPr>
          <w:color w:val="000000" w:themeColor="text1"/>
          <w:sz w:val="28"/>
          <w:szCs w:val="28"/>
        </w:rPr>
        <w:t xml:space="preserve">).</w:t>
      </w:r>
      <w:r>
        <w:rPr>
          <w:color w:val="000000" w:themeColor="text1"/>
          <w:sz w:val="28"/>
          <w:szCs w:val="28"/>
        </w:rPr>
        <w:t xml:space="preserve"> </w:t>
      </w:r>
      <w:r>
        <w:rPr>
          <w:color w:val="000000" w:themeColor="text1"/>
          <w:sz w:val="28"/>
          <w:szCs w:val="28"/>
        </w:rPr>
      </w:r>
    </w:p>
    <w:p>
      <w:pPr>
        <w:pBdr/>
        <w:spacing w:before="120" w:line="259" w:lineRule="auto"/>
        <w:ind w:firstLine="720"/>
        <w:jc w:val="both"/>
        <w:rPr>
          <w:sz w:val="28"/>
          <w:szCs w:val="28"/>
          <w:lang w:val="es-ES"/>
        </w:rPr>
      </w:pPr>
      <w:r>
        <w:rPr>
          <w:sz w:val="28"/>
          <w:szCs w:val="28"/>
          <w:lang w:val="es-ES"/>
        </w:rPr>
        <w:t xml:space="preserve">Từ những lý do nêu trên, Ủy ban nhân dân tỉnh kính trình Hội đồng nhân dân tỉnh xem xét, ban hành </w:t>
      </w:r>
      <w:r>
        <w:rPr>
          <w:color w:val="000000" w:themeColor="text1"/>
          <w:sz w:val="28"/>
          <w:szCs w:val="28"/>
        </w:rPr>
        <w:t xml:space="preserve">Nghị quyết số 16/2019/NQ-HĐND ngày 06/12/2019 quy định về đối tượng cho vay chương trình nước sạch và vệ sinh môi trường đối với hộ gia đình định cư hợp pháp thuộc khu vực đô thị (phường, thị trấn) trên địa bàn tỉnh Long An</w:t>
      </w:r>
      <w:r>
        <w:rPr>
          <w:sz w:val="28"/>
          <w:szCs w:val="28"/>
          <w:lang w:val="es-ES"/>
        </w:rPr>
        <w:t xml:space="preserve"> để đảm bảo sự thống nhất trong hệ thống văn bản quy phạm pháp luật và phù hợp với thực tiễn quản lý nhà nước sau </w:t>
      </w:r>
      <w:r>
        <w:rPr>
          <w:sz w:val="28"/>
          <w:szCs w:val="28"/>
          <w:lang w:val="es-ES"/>
        </w:rPr>
        <w:t xml:space="preserve">hợp nhất</w:t>
      </w:r>
      <w:r>
        <w:rPr>
          <w:sz w:val="28"/>
          <w:szCs w:val="28"/>
          <w:lang w:val="es-ES"/>
        </w:rPr>
        <w:t xml:space="preserve">.</w:t>
      </w:r>
      <w:r>
        <w:rPr>
          <w:sz w:val="28"/>
          <w:szCs w:val="28"/>
          <w:lang w:val="es-ES"/>
        </w:rPr>
      </w:r>
    </w:p>
    <w:p>
      <w:pPr>
        <w:pBdr/>
        <w:tabs>
          <w:tab w:val="left" w:leader="none" w:pos="707"/>
        </w:tabs>
        <w:spacing w:before="120" w:line="259" w:lineRule="auto"/>
        <w:ind w:firstLine="720"/>
        <w:jc w:val="both"/>
        <w:rPr>
          <w:i/>
          <w:sz w:val="28"/>
          <w:szCs w:val="28"/>
          <w:u w:val="single"/>
        </w:rPr>
      </w:pPr>
      <w:r>
        <w:rPr>
          <w:i/>
          <w:sz w:val="28"/>
          <w:szCs w:val="28"/>
          <w:u w:val="single"/>
        </w:rPr>
        <w:t xml:space="preserve">Tài liệu gửi kèm:</w:t>
      </w:r>
      <w:r>
        <w:rPr>
          <w:i/>
          <w:sz w:val="28"/>
          <w:szCs w:val="28"/>
          <w:u w:val="single"/>
        </w:rPr>
      </w:r>
    </w:p>
    <w:p>
      <w:pPr>
        <w:pBdr/>
        <w:tabs>
          <w:tab w:val="left" w:leader="none" w:pos="707"/>
        </w:tabs>
        <w:spacing w:before="120" w:line="259" w:lineRule="auto"/>
        <w:ind w:firstLine="720"/>
        <w:jc w:val="both"/>
        <w:rPr>
          <w:sz w:val="28"/>
          <w:szCs w:val="28"/>
        </w:rPr>
      </w:pPr>
      <w:r>
        <w:rPr>
          <w:sz w:val="28"/>
          <w:szCs w:val="28"/>
        </w:rPr>
        <w:t xml:space="preserve">- Dự thảo </w:t>
      </w:r>
      <w:r>
        <w:rPr>
          <w:sz w:val="28"/>
          <w:szCs w:val="28"/>
        </w:rPr>
        <w:t xml:space="preserve">Nghị quyết bãi bỏ </w:t>
      </w:r>
      <w:r>
        <w:rPr>
          <w:sz w:val="28"/>
          <w:szCs w:val="28"/>
        </w:rPr>
        <w:t xml:space="preserve">Nghị quyết số 16/2019/NQ-HĐND ngày 06/12/2019 quy định về đối tượng cho vay chương trình nước sạch và vệ sinh môi trường đối với hộ gia đình định cư hợp pháp thuộc khu vực đô thị (phường, thị trấn) trên địa bàn tỉnh Long An</w:t>
      </w:r>
      <w:r>
        <w:rPr>
          <w:sz w:val="28"/>
          <w:szCs w:val="28"/>
        </w:rPr>
        <w:t xml:space="preserve"> (trước đây)</w:t>
      </w:r>
      <w:r>
        <w:rPr>
          <w:sz w:val="28"/>
          <w:szCs w:val="28"/>
        </w:rPr>
        <w:t xml:space="preserve">;</w:t>
      </w:r>
      <w:r>
        <w:rPr>
          <w:sz w:val="28"/>
          <w:szCs w:val="28"/>
        </w:rPr>
      </w:r>
    </w:p>
    <w:p>
      <w:pPr>
        <w:pBdr/>
        <w:tabs>
          <w:tab w:val="left" w:leader="none" w:pos="707"/>
        </w:tabs>
        <w:spacing w:before="120" w:line="259" w:lineRule="auto"/>
        <w:ind w:firstLine="720"/>
        <w:jc w:val="both"/>
        <w:rPr>
          <w:sz w:val="28"/>
          <w:szCs w:val="28"/>
        </w:rPr>
      </w:pPr>
      <w:r>
        <w:rPr>
          <w:sz w:val="28"/>
          <w:szCs w:val="28"/>
        </w:rPr>
        <w:t xml:space="preserve">- Báo cáo thẩm định của Sở Tư pháp;</w:t>
      </w:r>
      <w:r>
        <w:rPr>
          <w:sz w:val="28"/>
          <w:szCs w:val="28"/>
        </w:rPr>
      </w:r>
    </w:p>
    <w:p>
      <w:pPr>
        <w:pBdr/>
        <w:tabs>
          <w:tab w:val="left" w:leader="none" w:pos="707"/>
        </w:tabs>
        <w:spacing w:before="120" w:line="259" w:lineRule="auto"/>
        <w:ind w:firstLine="720"/>
        <w:jc w:val="both"/>
        <w:rPr>
          <w:sz w:val="28"/>
          <w:szCs w:val="28"/>
        </w:rPr>
      </w:pPr>
      <w:r>
        <w:rPr>
          <w:sz w:val="28"/>
          <w:szCs w:val="28"/>
        </w:rPr>
        <w:t xml:space="preserve">- Báo cáo tiếp thu, giải trình ý kiến góp ý dự thảo;</w:t>
      </w:r>
      <w:r>
        <w:rPr>
          <w:sz w:val="28"/>
          <w:szCs w:val="28"/>
        </w:rPr>
      </w:r>
    </w:p>
    <w:p>
      <w:pPr>
        <w:pBdr/>
        <w:tabs>
          <w:tab w:val="left" w:leader="none" w:pos="707"/>
        </w:tabs>
        <w:spacing w:before="120" w:line="259" w:lineRule="auto"/>
        <w:ind w:firstLine="720"/>
        <w:jc w:val="both"/>
        <w:rPr>
          <w:sz w:val="28"/>
          <w:szCs w:val="28"/>
        </w:rPr>
      </w:pPr>
      <w:r>
        <w:rPr>
          <w:sz w:val="28"/>
          <w:szCs w:val="28"/>
        </w:rPr>
        <w:t xml:space="preserve">- Tổng hợp ý kiến góp ý của các cơ quan, tổ chức, đơn vị.</w:t>
      </w:r>
      <w:r>
        <w:rPr>
          <w:sz w:val="28"/>
          <w:szCs w:val="28"/>
        </w:rPr>
      </w:r>
    </w:p>
    <w:p>
      <w:pPr>
        <w:pBdr/>
        <w:spacing w:before="120" w:line="259" w:lineRule="auto"/>
        <w:ind w:firstLine="720"/>
        <w:jc w:val="both"/>
        <w:rPr>
          <w:sz w:val="28"/>
          <w:szCs w:val="28"/>
          <w:lang w:val="vi-VN"/>
        </w:rPr>
      </w:pPr>
      <w:r>
        <w:rPr>
          <w:iCs/>
          <w:sz w:val="28"/>
          <w:szCs w:val="28"/>
          <w:lang w:val="es-ES"/>
        </w:rPr>
        <w:t xml:space="preserve">Ủy ban nhân dân </w:t>
      </w:r>
      <w:r>
        <w:rPr>
          <w:sz w:val="28"/>
          <w:szCs w:val="28"/>
        </w:rPr>
        <w:t xml:space="preserve">tỉnh </w:t>
      </w:r>
      <w:r>
        <w:rPr>
          <w:sz w:val="28"/>
          <w:szCs w:val="28"/>
          <w:lang w:val="vi-VN"/>
        </w:rPr>
        <w:t xml:space="preserve">kính trình</w:t>
      </w:r>
      <w:r>
        <w:rPr>
          <w:sz w:val="28"/>
          <w:szCs w:val="28"/>
        </w:rPr>
        <w:t xml:space="preserve"> H</w:t>
      </w:r>
      <w:r>
        <w:rPr>
          <w:sz w:val="28"/>
          <w:szCs w:val="28"/>
        </w:rPr>
        <w:t xml:space="preserve">ội đồng nhân dân</w:t>
      </w:r>
      <w:r>
        <w:rPr>
          <w:sz w:val="28"/>
          <w:szCs w:val="28"/>
        </w:rPr>
        <w:t xml:space="preserve"> tỉnh xe</w:t>
      </w:r>
      <w:r>
        <w:rPr>
          <w:sz w:val="28"/>
          <w:szCs w:val="28"/>
          <w:lang w:val="vi-VN"/>
        </w:rPr>
        <w:t xml:space="preserve">m</w:t>
      </w:r>
      <w:r>
        <w:rPr>
          <w:sz w:val="28"/>
          <w:szCs w:val="28"/>
        </w:rPr>
        <w:t xml:space="preserve"> xét ban hành</w:t>
      </w:r>
      <w:r>
        <w:rPr>
          <w:sz w:val="28"/>
          <w:szCs w:val="28"/>
          <w:lang w:val="vi-VN"/>
        </w:rPr>
        <w:t xml:space="preserve">./.</w:t>
      </w:r>
      <w:r>
        <w:rPr>
          <w:sz w:val="28"/>
          <w:szCs w:val="28"/>
          <w:lang w:val="vi-VN"/>
        </w:rPr>
      </w:r>
    </w:p>
    <w:p>
      <w:pPr>
        <w:pBdr/>
        <w:spacing/>
        <w:ind w:firstLine="720"/>
        <w:jc w:val="both"/>
        <w:rPr>
          <w:sz w:val="28"/>
          <w:szCs w:val="28"/>
          <w:lang w:val="vi-VN"/>
        </w:rPr>
      </w:pPr>
      <w:r>
        <w:rPr>
          <w:sz w:val="28"/>
          <w:szCs w:val="28"/>
          <w:lang w:val="vi-VN"/>
        </w:rPr>
      </w:r>
      <w:r>
        <w:rPr>
          <w:sz w:val="28"/>
          <w:szCs w:val="28"/>
          <w:lang w:val="vi-VN"/>
        </w:rPr>
      </w:r>
    </w:p>
    <w:tbl>
      <w:tblPr>
        <w:tblW w:w="0" w:type="auto"/>
        <w:tblBorders/>
        <w:tblLook w:val="01E0" w:firstRow="1" w:lastRow="1" w:firstColumn="1" w:lastColumn="1" w:noHBand="0" w:noVBand="0"/>
      </w:tblPr>
      <w:tblGrid>
        <w:gridCol w:w="4639"/>
        <w:gridCol w:w="4649"/>
      </w:tblGrid>
      <w:tr>
        <w:trPr/>
        <w:tc>
          <w:tcPr>
            <w:shd w:val="clear" w:color="auto" w:fill="auto"/>
            <w:tcBorders/>
            <w:tcW w:w="4838" w:type="dxa"/>
            <w:textDirection w:val="lrTb"/>
            <w:noWrap w:val="false"/>
          </w:tcPr>
          <w:p>
            <w:pPr>
              <w:pBdr/>
              <w:spacing/>
              <w:ind/>
              <w:rPr>
                <w:b/>
                <w:i/>
                <w:lang w:val="vi-VN"/>
              </w:rPr>
            </w:pPr>
            <w:r>
              <w:rPr>
                <w:b/>
                <w:i/>
                <w:lang w:val="vi-VN"/>
              </w:rPr>
              <w:t xml:space="preserve">Nơi nhận:</w:t>
            </w:r>
            <w:r>
              <w:rPr>
                <w:b/>
                <w:i/>
                <w:lang w:val="vi-VN"/>
              </w:rPr>
            </w:r>
          </w:p>
          <w:p>
            <w:pPr>
              <w:pBdr/>
              <w:spacing/>
              <w:ind/>
              <w:rPr>
                <w:sz w:val="22"/>
                <w:szCs w:val="22"/>
                <w:lang w:val="vi-VN"/>
              </w:rPr>
            </w:pPr>
            <w:r>
              <w:rPr>
                <w:sz w:val="22"/>
                <w:szCs w:val="22"/>
                <w:lang w:val="vi-VN"/>
              </w:rPr>
              <w:t xml:space="preserve">- Như trên;</w:t>
            </w:r>
            <w:r>
              <w:rPr>
                <w:sz w:val="22"/>
                <w:szCs w:val="22"/>
                <w:lang w:val="vi-VN"/>
              </w:rPr>
            </w:r>
          </w:p>
          <w:p>
            <w:pPr>
              <w:pBdr/>
              <w:spacing/>
              <w:ind/>
              <w:rPr>
                <w:sz w:val="22"/>
                <w:szCs w:val="22"/>
                <w:lang w:val="vi-VN"/>
              </w:rPr>
            </w:pPr>
            <w:r>
              <w:rPr>
                <w:sz w:val="22"/>
                <w:szCs w:val="22"/>
                <w:lang w:val="vi-VN"/>
              </w:rPr>
              <w:t xml:space="preserve">- CT, các PCT UBND tỉnh;</w:t>
            </w:r>
            <w:r>
              <w:rPr>
                <w:sz w:val="22"/>
                <w:szCs w:val="22"/>
                <w:lang w:val="vi-VN"/>
              </w:rPr>
            </w:r>
          </w:p>
          <w:p>
            <w:pPr>
              <w:pBdr/>
              <w:spacing/>
              <w:ind/>
              <w:rPr>
                <w:sz w:val="22"/>
                <w:szCs w:val="22"/>
              </w:rPr>
            </w:pPr>
            <w:r>
              <w:rPr>
                <w:sz w:val="22"/>
                <w:szCs w:val="22"/>
              </w:rPr>
              <w:t xml:space="preserve">- Sở Nội vụ;</w:t>
            </w:r>
            <w:r>
              <w:rPr>
                <w:sz w:val="22"/>
                <w:szCs w:val="22"/>
              </w:rPr>
            </w:r>
          </w:p>
          <w:p>
            <w:pPr>
              <w:pBdr/>
              <w:spacing/>
              <w:ind/>
              <w:rPr>
                <w:sz w:val="22"/>
                <w:szCs w:val="22"/>
                <w:lang w:val="vi-VN"/>
              </w:rPr>
            </w:pPr>
            <w:r>
              <w:rPr>
                <w:sz w:val="22"/>
                <w:szCs w:val="22"/>
                <w:lang w:val="vi-VN"/>
              </w:rPr>
              <w:t xml:space="preserve">- Sở </w:t>
            </w:r>
            <w:r>
              <w:rPr>
                <w:sz w:val="22"/>
                <w:szCs w:val="22"/>
              </w:rPr>
              <w:t xml:space="preserve">Xây dựng</w:t>
            </w:r>
            <w:r>
              <w:rPr>
                <w:sz w:val="22"/>
                <w:szCs w:val="22"/>
                <w:lang w:val="vi-VN"/>
              </w:rPr>
              <w:t xml:space="preserve">;</w:t>
            </w:r>
            <w:r>
              <w:rPr>
                <w:sz w:val="22"/>
                <w:szCs w:val="22"/>
                <w:lang w:val="vi-VN"/>
              </w:rPr>
            </w:r>
          </w:p>
          <w:p>
            <w:pPr>
              <w:pBdr/>
              <w:spacing/>
              <w:ind/>
              <w:rPr>
                <w:sz w:val="22"/>
                <w:szCs w:val="22"/>
              </w:rPr>
            </w:pPr>
            <w:r>
              <w:rPr>
                <w:sz w:val="22"/>
                <w:szCs w:val="22"/>
                <w:lang w:val="vi-VN"/>
              </w:rPr>
              <w:t xml:space="preserve">- Sở Tài chính;</w:t>
            </w:r>
            <w:r>
              <w:rPr>
                <w:sz w:val="22"/>
                <w:szCs w:val="22"/>
              </w:rPr>
            </w:r>
          </w:p>
          <w:p>
            <w:pPr>
              <w:pBdr/>
              <w:spacing/>
              <w:ind/>
              <w:rPr>
                <w:sz w:val="22"/>
                <w:szCs w:val="22"/>
                <w:lang w:val="vi-VN"/>
              </w:rPr>
            </w:pPr>
            <w:r>
              <w:rPr>
                <w:sz w:val="22"/>
                <w:szCs w:val="22"/>
                <w:lang w:val="vi-VN"/>
              </w:rPr>
              <w:t xml:space="preserve">- LĐVP, KT</w:t>
            </w:r>
            <w:r>
              <w:rPr>
                <w:sz w:val="22"/>
                <w:szCs w:val="22"/>
                <w:lang w:val="vi-VN"/>
              </w:rPr>
              <w:t xml:space="preserve">, T</w:t>
            </w:r>
            <w:r>
              <w:rPr>
                <w:sz w:val="22"/>
                <w:szCs w:val="22"/>
                <w:lang w:val="vi-VN"/>
              </w:rPr>
              <w:t xml:space="preserve">KTH</w:t>
            </w:r>
            <w:r>
              <w:rPr>
                <w:sz w:val="22"/>
                <w:szCs w:val="22"/>
                <w:lang w:val="vi-VN"/>
              </w:rPr>
              <w:t xml:space="preserve">;</w:t>
            </w:r>
            <w:r>
              <w:rPr>
                <w:sz w:val="22"/>
                <w:szCs w:val="22"/>
                <w:lang w:val="vi-VN"/>
              </w:rPr>
            </w:r>
          </w:p>
          <w:p>
            <w:pPr>
              <w:pBdr/>
              <w:spacing/>
              <w:ind/>
              <w:rPr>
                <w:sz w:val="22"/>
                <w:szCs w:val="22"/>
                <w:lang w:val="vi-VN"/>
              </w:rPr>
            </w:pPr>
            <w:r>
              <w:rPr>
                <w:sz w:val="22"/>
                <w:szCs w:val="22"/>
                <w:lang w:val="vi-VN"/>
              </w:rPr>
              <w:t xml:space="preserve">- Lưu: VT</w:t>
            </w:r>
            <w:r>
              <w:rPr>
                <w:sz w:val="22"/>
                <w:szCs w:val="22"/>
                <w:lang w:val="vi-VN"/>
              </w:rPr>
              <w:t xml:space="preserve">.VP UBND tỉnh</w:t>
            </w:r>
            <w:r>
              <w:rPr>
                <w:sz w:val="22"/>
                <w:szCs w:val="22"/>
                <w:lang w:val="vi-VN"/>
              </w:rPr>
              <w:t xml:space="preserve">.</w:t>
            </w:r>
            <w:r>
              <w:rPr>
                <w:sz w:val="22"/>
                <w:szCs w:val="22"/>
                <w:lang w:val="vi-VN"/>
              </w:rPr>
            </w:r>
          </w:p>
        </w:tc>
        <w:tc>
          <w:tcPr>
            <w:shd w:val="clear" w:color="auto" w:fill="auto"/>
            <w:tcBorders/>
            <w:tcW w:w="4839" w:type="dxa"/>
            <w:textDirection w:val="lrTb"/>
            <w:noWrap w:val="false"/>
          </w:tcPr>
          <w:p>
            <w:pPr>
              <w:pBdr/>
              <w:spacing/>
              <w:ind/>
              <w:jc w:val="center"/>
              <w:rPr>
                <w:b/>
                <w:sz w:val="28"/>
                <w:szCs w:val="28"/>
                <w:lang w:val="vi-VN"/>
              </w:rPr>
            </w:pPr>
            <w:r>
              <w:rPr>
                <w:b/>
                <w:sz w:val="28"/>
                <w:szCs w:val="28"/>
                <w:lang w:val="vi-VN"/>
              </w:rPr>
              <w:t xml:space="preserve">TM. ỦY BAN NHÂN DÂN</w:t>
            </w:r>
            <w:r>
              <w:rPr>
                <w:b/>
                <w:sz w:val="28"/>
                <w:szCs w:val="28"/>
                <w:lang w:val="vi-VN"/>
              </w:rPr>
            </w:r>
          </w:p>
          <w:p>
            <w:pPr>
              <w:pBdr/>
              <w:spacing/>
              <w:ind/>
              <w:jc w:val="center"/>
              <w:rPr>
                <w:i/>
                <w:lang w:val="vi-VN"/>
              </w:rPr>
            </w:pPr>
            <w:r>
              <w:rPr>
                <w:b/>
                <w:sz w:val="28"/>
                <w:szCs w:val="28"/>
                <w:lang w:val="vi-VN"/>
              </w:rPr>
              <w:t xml:space="preserve">CHỦ TỊCH</w:t>
            </w:r>
            <w:r>
              <w:rPr>
                <w:i/>
                <w:lang w:val="vi-VN"/>
              </w:rPr>
            </w:r>
          </w:p>
          <w:p>
            <w:pPr>
              <w:pBdr/>
              <w:spacing/>
              <w:ind/>
              <w:rPr>
                <w:sz w:val="28"/>
                <w:szCs w:val="28"/>
                <w:lang w:val="vi-VN"/>
              </w:rPr>
            </w:pPr>
            <w:r>
              <w:rPr>
                <w:sz w:val="28"/>
                <w:szCs w:val="28"/>
                <w:lang w:val="vi-VN"/>
              </w:rPr>
            </w:r>
            <w:r>
              <w:rPr>
                <w:sz w:val="28"/>
                <w:szCs w:val="28"/>
                <w:lang w:val="vi-VN"/>
              </w:rPr>
            </w:r>
          </w:p>
        </w:tc>
      </w:tr>
    </w:tbl>
    <w:p>
      <w:pPr>
        <w:pBdr/>
        <w:spacing w:after="120" w:before="120"/>
        <w:ind/>
        <w:jc w:val="both"/>
        <w:rPr>
          <w:lang w:val="vi-VN"/>
        </w:rPr>
      </w:pPr>
      <w:r>
        <w:rPr>
          <w:lang w:val="vi-VN"/>
        </w:rPr>
      </w:r>
      <w:r>
        <w:rPr>
          <w:lang w:val="vi-VN"/>
        </w:rPr>
      </w:r>
    </w:p>
    <w:sectPr>
      <w:headerReference w:type="default" r:id="rId9"/>
      <w:headerReference w:type="first" r:id="rId10"/>
      <w:footerReference w:type="even" r:id="rId11"/>
      <w:footnotePr/>
      <w:endnotePr/>
      <w:type w:val="nextPage"/>
      <w:pgSz w:h="16840" w:orient="portrait" w:w="11907"/>
      <w:pgMar w:top="1134" w:right="1134" w:bottom="1134" w:left="1701" w:header="578" w:footer="431"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NotoSerif">
    <w:panose1 w:val="02020502060505020204"/>
  </w:font>
  <w:font w:name="Wingdings">
    <w:panose1 w:val="05000000000000000000"/>
  </w:font>
  <w:font w:name="Courier New">
    <w:panose1 w:val="02070309020205020404"/>
  </w:font>
  <w:font w:name="Symbol">
    <w:panose1 w:val="05050102010706020507"/>
  </w:font>
  <w:font w:name="Times New Roman">
    <w:panose1 w:val="02020603050405020304"/>
  </w:font>
  <w:font w:name="Tahoma">
    <w:panose1 w:val="020B0604030504040204"/>
  </w:font>
  <w:font w:name="Verdana">
    <w:panose1 w:val="020B060403050404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5"/>
      <w:framePr w:hAnchor="margin" w:vAnchor="text" w:wrap="around" w:xAlign="right" w:y="1"/>
      <w:pBdr/>
      <w:spacing/>
      <w:ind/>
      <w:rPr>
        <w:rStyle w:val="796"/>
      </w:rPr>
    </w:pPr>
    <w:r>
      <w:rPr>
        <w:rStyle w:val="796"/>
      </w:rPr>
      <w:fldChar w:fldCharType="begin"/>
    </w:r>
    <w:r>
      <w:rPr>
        <w:rStyle w:val="796"/>
      </w:rPr>
      <w:instrText xml:space="preserve">PAGE  </w:instrText>
    </w:r>
    <w:r>
      <w:rPr>
        <w:rStyle w:val="796"/>
      </w:rPr>
      <w:fldChar w:fldCharType="end"/>
    </w:r>
    <w:r>
      <w:rPr>
        <w:rStyle w:val="796"/>
      </w:rPr>
    </w:r>
  </w:p>
  <w:p>
    <w:pPr>
      <w:pStyle w:val="795"/>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71852151"/>
      <w:docPartObj>
        <w:docPartGallery w:val="Page Numbers (Top of Page)"/>
        <w:docPartUnique w:val="true"/>
      </w:docPartObj>
      <w:rPr/>
    </w:sdtPr>
    <w:sdtContent>
      <w:p>
        <w:pPr>
          <w:pStyle w:val="794"/>
          <w:pBdr/>
          <w:spacing/>
          <w:ind/>
          <w:jc w:val="center"/>
          <w:rPr/>
        </w:pPr>
        <w:r>
          <w:fldChar w:fldCharType="begin"/>
        </w:r>
        <w:r>
          <w:instrText xml:space="preserve"> PAGE   \* MERGEFORMAT </w:instrText>
        </w:r>
        <w:r>
          <w:fldChar w:fldCharType="separate"/>
        </w:r>
        <w:r>
          <w:t xml:space="preserve">3</w:t>
        </w:r>
        <w:r>
          <w:fldChar w:fldCharType="end"/>
        </w:r>
        <w:r/>
      </w:p>
    </w:sdtContent>
  </w:sdt>
  <w:p>
    <w:pPr>
      <w:pStyle w:val="79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4"/>
      <w:pBdr/>
      <w:spacing/>
      <w:ind/>
      <w:jc w:val="center"/>
      <w:rPr/>
    </w:pPr>
    <w:r/>
    <w:r/>
  </w:p>
  <w:p>
    <w:pPr>
      <w:pStyle w:val="79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1."/>
      <w:numFmt w:val="decimal"/>
      <w:pPr>
        <w:pBdr/>
        <w:tabs>
          <w:tab w:val="num" w:leader="none" w:pos="1080"/>
        </w:tabs>
        <w:spacing/>
        <w:ind w:hanging="360" w:left="1080"/>
      </w:pPr>
      <w:rPr>
        <w:rFonts w:hint="default"/>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3">
    <w:lvl w:ilvl="0">
      <w:isLgl w:val="false"/>
      <w:lvlJc w:val="left"/>
      <w:lvlText w:val="%1."/>
      <w:numFmt w:val="upperRoman"/>
      <w:pPr>
        <w:pBdr/>
        <w:spacing/>
        <w:ind w:hanging="720" w:left="144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4">
    <w:lvl w:ilvl="0">
      <w:isLgl w:val="false"/>
      <w:lvlJc w:val="left"/>
      <w:lvlText w:val="%1."/>
      <w:numFmt w:val="upperRoman"/>
      <w:pPr>
        <w:pBdr/>
        <w:spacing/>
        <w:ind w:hanging="720" w:left="144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5">
    <w:lvl w:ilvl="0">
      <w:isLgl w:val="false"/>
      <w:lvlJc w:val="left"/>
      <w:lvlText w:val=""/>
      <w:numFmt w:val="bullet"/>
      <w:pPr>
        <w:pBdr/>
        <w:tabs>
          <w:tab w:val="num" w:leader="none" w:pos="1080"/>
        </w:tabs>
        <w:spacing/>
        <w:ind w:hanging="360" w:left="1080"/>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6">
    <w:lvl w:ilvl="0">
      <w:isLgl w:val="false"/>
      <w:lvlJc w:val="left"/>
      <w:lvlText w:val="-"/>
      <w:numFmt w:val="bullet"/>
      <w:pPr>
        <w:pBdr/>
        <w:spacing/>
        <w:ind w:hanging="360" w:left="1069"/>
      </w:pPr>
      <w:rPr>
        <w:rFonts w:hint="default" w:ascii="Times New Roman" w:hAnsi="Times New Roman" w:eastAsia="Times New Roman" w:cs="Times New Roman"/>
      </w:rPr>
      <w:start w:val="2"/>
      <w:suff w:val="tab"/>
    </w:lvl>
    <w:lvl w:ilvl="1">
      <w:isLgl w:val="false"/>
      <w:lvlJc w:val="left"/>
      <w:lvlText w:val="o"/>
      <w:numFmt w:val="bullet"/>
      <w:pPr>
        <w:pBdr/>
        <w:spacing/>
        <w:ind w:hanging="360" w:left="1789"/>
      </w:pPr>
      <w:rPr>
        <w:rFonts w:hint="default" w:ascii="Courier New" w:hAnsi="Courier New" w:cs="Courier New"/>
      </w:rPr>
      <w:start w:val="1"/>
      <w:suff w:val="tab"/>
    </w:lvl>
    <w:lvl w:ilvl="2">
      <w:isLgl w:val="false"/>
      <w:lvlJc w:val="left"/>
      <w:lvlText w:val=""/>
      <w:numFmt w:val="bullet"/>
      <w:pPr>
        <w:pBdr/>
        <w:spacing/>
        <w:ind w:hanging="360" w:left="2509"/>
      </w:pPr>
      <w:rPr>
        <w:rFonts w:hint="default" w:ascii="Wingdings" w:hAnsi="Wingdings"/>
      </w:rPr>
      <w:start w:val="1"/>
      <w:suff w:val="tab"/>
    </w:lvl>
    <w:lvl w:ilvl="3">
      <w:isLgl w:val="false"/>
      <w:lvlJc w:val="left"/>
      <w:lvlText w:val=""/>
      <w:numFmt w:val="bullet"/>
      <w:pPr>
        <w:pBdr/>
        <w:spacing/>
        <w:ind w:hanging="360" w:left="3229"/>
      </w:pPr>
      <w:rPr>
        <w:rFonts w:hint="default" w:ascii="Symbol" w:hAnsi="Symbol"/>
      </w:rPr>
      <w:start w:val="1"/>
      <w:suff w:val="tab"/>
    </w:lvl>
    <w:lvl w:ilvl="4">
      <w:isLgl w:val="false"/>
      <w:lvlJc w:val="left"/>
      <w:lvlText w:val="o"/>
      <w:numFmt w:val="bullet"/>
      <w:pPr>
        <w:pBdr/>
        <w:spacing/>
        <w:ind w:hanging="360" w:left="3949"/>
      </w:pPr>
      <w:rPr>
        <w:rFonts w:hint="default" w:ascii="Courier New" w:hAnsi="Courier New" w:cs="Courier New"/>
      </w:rPr>
      <w:start w:val="1"/>
      <w:suff w:val="tab"/>
    </w:lvl>
    <w:lvl w:ilvl="5">
      <w:isLgl w:val="false"/>
      <w:lvlJc w:val="left"/>
      <w:lvlText w:val=""/>
      <w:numFmt w:val="bullet"/>
      <w:pPr>
        <w:pBdr/>
        <w:spacing/>
        <w:ind w:hanging="360" w:left="4669"/>
      </w:pPr>
      <w:rPr>
        <w:rFonts w:hint="default" w:ascii="Wingdings" w:hAnsi="Wingdings"/>
      </w:rPr>
      <w:start w:val="1"/>
      <w:suff w:val="tab"/>
    </w:lvl>
    <w:lvl w:ilvl="6">
      <w:isLgl w:val="false"/>
      <w:lvlJc w:val="left"/>
      <w:lvlText w:val=""/>
      <w:numFmt w:val="bullet"/>
      <w:pPr>
        <w:pBdr/>
        <w:spacing/>
        <w:ind w:hanging="360" w:left="5389"/>
      </w:pPr>
      <w:rPr>
        <w:rFonts w:hint="default" w:ascii="Symbol" w:hAnsi="Symbol"/>
      </w:rPr>
      <w:start w:val="1"/>
      <w:suff w:val="tab"/>
    </w:lvl>
    <w:lvl w:ilvl="7">
      <w:isLgl w:val="false"/>
      <w:lvlJc w:val="left"/>
      <w:lvlText w:val="o"/>
      <w:numFmt w:val="bullet"/>
      <w:pPr>
        <w:pBdr/>
        <w:spacing/>
        <w:ind w:hanging="360" w:left="6109"/>
      </w:pPr>
      <w:rPr>
        <w:rFonts w:hint="default" w:ascii="Courier New" w:hAnsi="Courier New" w:cs="Courier New"/>
      </w:rPr>
      <w:start w:val="1"/>
      <w:suff w:val="tab"/>
    </w:lvl>
    <w:lvl w:ilvl="8">
      <w:isLgl w:val="false"/>
      <w:lvlJc w:val="left"/>
      <w:lvlText w:val=""/>
      <w:numFmt w:val="bullet"/>
      <w:pPr>
        <w:pBdr/>
        <w:spacing/>
        <w:ind w:hanging="360" w:left="6829"/>
      </w:pPr>
      <w:rPr>
        <w:rFonts w:hint="default" w:ascii="Wingdings" w:hAnsi="Wingdings"/>
      </w:rPr>
      <w:start w:val="1"/>
      <w:suff w:val="tab"/>
    </w:lvl>
  </w:abstractNum>
  <w:abstractNum w:abstractNumId="7">
    <w:lvl w:ilvl="0">
      <w:isLgl w:val="false"/>
      <w:lvlJc w:val="left"/>
      <w:lvlText w:val="-"/>
      <w:numFmt w:val="bullet"/>
      <w:pPr>
        <w:pBdr/>
        <w:tabs>
          <w:tab w:val="num" w:leader="none" w:pos="1620"/>
        </w:tabs>
        <w:spacing/>
        <w:ind w:hanging="900" w:left="1620"/>
      </w:pPr>
      <w:rPr>
        <w:rFonts w:hint="default" w:ascii="Times New Roman" w:hAnsi="Times New Roman" w:eastAsia="Times New Roman" w:cs="Times New Roman"/>
      </w:rPr>
      <w:start w:val="0"/>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8">
    <w:lvl w:ilvl="0">
      <w:isLgl w:val="false"/>
      <w:lvlJc w:val="left"/>
      <w:lvlText w:val="%1."/>
      <w:numFmt w:val="decimal"/>
      <w:pPr>
        <w:pBdr/>
        <w:tabs>
          <w:tab w:val="num" w:leader="none" w:pos="1080"/>
        </w:tabs>
        <w:spacing/>
        <w:ind w:hanging="360" w:left="1080"/>
      </w:pPr>
      <w:rPr>
        <w:rFonts w:hint="default"/>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9">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0">
    <w:lvl w:ilvl="0">
      <w:isLgl w:val="false"/>
      <w:lvlJc w:val="left"/>
      <w:lvlText w:val="%1."/>
      <w:numFmt w:val="decimal"/>
      <w:pPr>
        <w:pBdr/>
        <w:spacing/>
        <w:ind w:hanging="360" w:left="1080"/>
      </w:pPr>
      <w:rPr>
        <w:rFonts w:hint="default"/>
        <w:b/>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3">
    <w:lvl w:ilvl="0">
      <w:isLgl w:val="false"/>
      <w:lvlJc w:val="left"/>
      <w:lvlText w:val="%1)"/>
      <w:numFmt w:val="lowerLetter"/>
      <w:pPr>
        <w:pBdr/>
        <w:spacing/>
        <w:ind w:hanging="360" w:left="1080"/>
      </w:pPr>
      <w:rPr>
        <w:rFonts w:hint="default"/>
      </w:rPr>
      <w:start w:val="2"/>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4">
    <w:lvl w:ilvl="0">
      <w:isLgl w:val="false"/>
      <w:lvlJc w:val="left"/>
      <w:lvlText w:val="-"/>
      <w:numFmt w:val="bullet"/>
      <w:pPr>
        <w:pBdr/>
        <w:tabs>
          <w:tab w:val="num" w:leader="none" w:pos="1080"/>
        </w:tabs>
        <w:spacing/>
        <w:ind w:hanging="360" w:left="108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15">
    <w:lvl w:ilvl="0">
      <w:isLgl w:val="false"/>
      <w:lvlJc w:val="left"/>
      <w:lvlText w:val="%1)"/>
      <w:numFmt w:val="lowerLetter"/>
      <w:pPr>
        <w:pBdr/>
        <w:spacing/>
        <w:ind w:hanging="360" w:left="1080"/>
      </w:pPr>
      <w:rPr>
        <w:rFonts w:hint="default" w:ascii="NotoSerif" w:hAnsi="NotoSerif"/>
        <w:color w:val="333333"/>
        <w:sz w:val="26"/>
      </w:rPr>
      <w:start w:val="1"/>
      <w:suff w:val="space"/>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6">
    <w:lvl w:ilvl="0">
      <w:isLgl w:val="false"/>
      <w:lvlJc w:val="left"/>
      <w:lvlText w:val="%1."/>
      <w:numFmt w:val="upperRoman"/>
      <w:pPr>
        <w:pBdr/>
        <w:spacing/>
        <w:ind w:hanging="720" w:left="144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7">
    <w:lvl w:ilvl="0">
      <w:isLgl w:val="false"/>
      <w:lvlJc w:val="left"/>
      <w:lvlText w:val="%1."/>
      <w:numFmt w:val="decimal"/>
      <w:pPr>
        <w:pBdr/>
        <w:spacing/>
        <w:ind w:hanging="360" w:left="1069"/>
      </w:pPr>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8">
    <w:lvl w:ilvl="0">
      <w:isLgl w:val="false"/>
      <w:lvlJc w:val="left"/>
      <w:lvlText w:val="%1)"/>
      <w:numFmt w:val="lowerLetter"/>
      <w:pPr>
        <w:pBdr/>
        <w:tabs>
          <w:tab w:val="num" w:leader="none" w:pos="1097"/>
        </w:tabs>
        <w:spacing/>
        <w:ind w:hanging="360" w:left="1097"/>
      </w:pPr>
      <w:rPr>
        <w:rFonts w:hint="default"/>
        <w:b/>
        <w:i w:val="0"/>
      </w:rPr>
      <w:start w:val="1"/>
      <w:suff w:val="tab"/>
    </w:lvl>
    <w:lvl w:ilvl="1">
      <w:isLgl w:val="false"/>
      <w:lvlJc w:val="left"/>
      <w:lvlText w:val=""/>
      <w:numFmt w:val="bullet"/>
      <w:pPr>
        <w:pBdr/>
        <w:tabs>
          <w:tab w:val="num" w:leader="none" w:pos="1750"/>
        </w:tabs>
        <w:spacing/>
        <w:ind w:hanging="360" w:left="1750"/>
      </w:pPr>
      <w:rPr>
        <w:rFonts w:hint="default" w:ascii="Symbol" w:hAnsi="Symbol"/>
      </w:rPr>
      <w:start w:val="1"/>
      <w:suff w:val="tab"/>
    </w:lvl>
    <w:lvl w:ilvl="2">
      <w:isLgl w:val="false"/>
      <w:lvlJc w:val="right"/>
      <w:lvlText w:val="%3."/>
      <w:numFmt w:val="lowerRoman"/>
      <w:pPr>
        <w:pBdr/>
        <w:tabs>
          <w:tab w:val="num" w:leader="none" w:pos="2470"/>
        </w:tabs>
        <w:spacing/>
        <w:ind w:hanging="180" w:left="2470"/>
      </w:pPr>
      <w:rPr/>
      <w:start w:val="1"/>
      <w:suff w:val="tab"/>
    </w:lvl>
    <w:lvl w:ilvl="3">
      <w:isLgl w:val="false"/>
      <w:lvlJc w:val="left"/>
      <w:lvlText w:val="%4."/>
      <w:numFmt w:val="decimal"/>
      <w:pPr>
        <w:pBdr/>
        <w:tabs>
          <w:tab w:val="num" w:leader="none" w:pos="3190"/>
        </w:tabs>
        <w:spacing/>
        <w:ind w:hanging="360" w:left="3190"/>
      </w:pPr>
      <w:rPr/>
      <w:start w:val="1"/>
      <w:suff w:val="tab"/>
    </w:lvl>
    <w:lvl w:ilvl="4">
      <w:isLgl w:val="false"/>
      <w:lvlJc w:val="left"/>
      <w:lvlText w:val="%5."/>
      <w:numFmt w:val="lowerLetter"/>
      <w:pPr>
        <w:pBdr/>
        <w:tabs>
          <w:tab w:val="num" w:leader="none" w:pos="3910"/>
        </w:tabs>
        <w:spacing/>
        <w:ind w:hanging="360" w:left="3910"/>
      </w:pPr>
      <w:rPr/>
      <w:start w:val="1"/>
      <w:suff w:val="tab"/>
    </w:lvl>
    <w:lvl w:ilvl="5">
      <w:isLgl w:val="false"/>
      <w:lvlJc w:val="right"/>
      <w:lvlText w:val="%6."/>
      <w:numFmt w:val="lowerRoman"/>
      <w:pPr>
        <w:pBdr/>
        <w:tabs>
          <w:tab w:val="num" w:leader="none" w:pos="4630"/>
        </w:tabs>
        <w:spacing/>
        <w:ind w:hanging="180" w:left="4630"/>
      </w:pPr>
      <w:rPr/>
      <w:start w:val="1"/>
      <w:suff w:val="tab"/>
    </w:lvl>
    <w:lvl w:ilvl="6">
      <w:isLgl w:val="false"/>
      <w:lvlJc w:val="left"/>
      <w:lvlText w:val="%7."/>
      <w:numFmt w:val="decimal"/>
      <w:pPr>
        <w:pBdr/>
        <w:tabs>
          <w:tab w:val="num" w:leader="none" w:pos="5350"/>
        </w:tabs>
        <w:spacing/>
        <w:ind w:hanging="360" w:left="5350"/>
      </w:pPr>
      <w:rPr/>
      <w:start w:val="1"/>
      <w:suff w:val="tab"/>
    </w:lvl>
    <w:lvl w:ilvl="7">
      <w:isLgl w:val="false"/>
      <w:lvlJc w:val="left"/>
      <w:lvlText w:val="%8."/>
      <w:numFmt w:val="lowerLetter"/>
      <w:pPr>
        <w:pBdr/>
        <w:tabs>
          <w:tab w:val="num" w:leader="none" w:pos="6070"/>
        </w:tabs>
        <w:spacing/>
        <w:ind w:hanging="360" w:left="6070"/>
      </w:pPr>
      <w:rPr/>
      <w:start w:val="1"/>
      <w:suff w:val="tab"/>
    </w:lvl>
    <w:lvl w:ilvl="8">
      <w:isLgl w:val="false"/>
      <w:lvlJc w:val="right"/>
      <w:lvlText w:val="%9."/>
      <w:numFmt w:val="lowerRoman"/>
      <w:pPr>
        <w:pBdr/>
        <w:tabs>
          <w:tab w:val="num" w:leader="none" w:pos="6790"/>
        </w:tabs>
        <w:spacing/>
        <w:ind w:hanging="180" w:left="6790"/>
      </w:pPr>
      <w:rPr/>
      <w:start w:val="1"/>
      <w:suff w:val="tab"/>
    </w:lvl>
  </w:abstractNum>
  <w:num w:numId="1">
    <w:abstractNumId w:val="7"/>
  </w:num>
  <w:num w:numId="2">
    <w:abstractNumId w:val="8"/>
  </w:num>
  <w:num w:numId="3">
    <w:abstractNumId w:val="2"/>
  </w:num>
  <w:num w:numId="4">
    <w:abstractNumId w:val="14"/>
  </w:num>
  <w:num w:numId="5">
    <w:abstractNumId w:val="4"/>
  </w:num>
  <w:num w:numId="6">
    <w:abstractNumId w:val="3"/>
  </w:num>
  <w:num w:numId="7">
    <w:abstractNumId w:val="16"/>
  </w:num>
  <w:num w:numId="8">
    <w:abstractNumId w:val="10"/>
  </w:num>
  <w:num w:numId="9">
    <w:abstractNumId w:val="9"/>
  </w:num>
  <w:num w:numId="10">
    <w:abstractNumId w:val="5"/>
  </w:num>
  <w:num w:numId="11">
    <w:abstractNumId w:val="18"/>
  </w:num>
  <w:num w:numId="12">
    <w:abstractNumId w:val="13"/>
  </w:num>
  <w:num w:numId="13">
    <w:abstractNumId w:val="11"/>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9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9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9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9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9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9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9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9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9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9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9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9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9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9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9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9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9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9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9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9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9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9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9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9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9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9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9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9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9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9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9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9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9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9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9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9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9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9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9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9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9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9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9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9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9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9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9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9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9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9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9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9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9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9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9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9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9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9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9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9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9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9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9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9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9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9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9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2"/>
    <w:basedOn w:val="788"/>
    <w:next w:val="788"/>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88"/>
    <w:next w:val="788"/>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5"/>
    <w:basedOn w:val="788"/>
    <w:next w:val="788"/>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88"/>
    <w:next w:val="788"/>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88"/>
    <w:next w:val="788"/>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88"/>
    <w:next w:val="788"/>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88"/>
    <w:next w:val="788"/>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91"/>
    <w:link w:val="789"/>
    <w:uiPriority w:val="9"/>
    <w:pPr>
      <w:pBdr/>
      <w:spacing/>
      <w:ind/>
    </w:pPr>
    <w:rPr>
      <w:rFonts w:ascii="Arial" w:hAnsi="Arial" w:eastAsia="Arial" w:cs="Arial"/>
      <w:color w:val="0f4761" w:themeColor="accent1" w:themeShade="BF"/>
      <w:sz w:val="40"/>
      <w:szCs w:val="40"/>
    </w:rPr>
  </w:style>
  <w:style w:type="character" w:styleId="150">
    <w:name w:val="Heading 2 Char"/>
    <w:basedOn w:val="791"/>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91"/>
    <w:link w:val="140"/>
    <w:uiPriority w:val="9"/>
    <w:pPr>
      <w:pBdr/>
      <w:spacing/>
      <w:ind/>
    </w:pPr>
    <w:rPr>
      <w:rFonts w:ascii="Arial" w:hAnsi="Arial" w:eastAsia="Arial" w:cs="Arial"/>
      <w:color w:val="0f4761" w:themeColor="accent1" w:themeShade="BF"/>
      <w:sz w:val="28"/>
      <w:szCs w:val="28"/>
    </w:rPr>
  </w:style>
  <w:style w:type="character" w:styleId="153">
    <w:name w:val="Heading 5 Char"/>
    <w:basedOn w:val="791"/>
    <w:link w:val="142"/>
    <w:uiPriority w:val="9"/>
    <w:pPr>
      <w:pBdr/>
      <w:spacing/>
      <w:ind/>
    </w:pPr>
    <w:rPr>
      <w:rFonts w:ascii="Arial" w:hAnsi="Arial" w:eastAsia="Arial" w:cs="Arial"/>
      <w:color w:val="0f4761" w:themeColor="accent1" w:themeShade="BF"/>
    </w:rPr>
  </w:style>
  <w:style w:type="character" w:styleId="154">
    <w:name w:val="Heading 6 Char"/>
    <w:basedOn w:val="791"/>
    <w:link w:val="143"/>
    <w:uiPriority w:val="9"/>
    <w:pPr>
      <w:pBdr/>
      <w:spacing/>
      <w:ind/>
    </w:pPr>
    <w:rPr>
      <w:rFonts w:ascii="Arial" w:hAnsi="Arial" w:eastAsia="Arial" w:cs="Arial"/>
      <w:i/>
      <w:iCs/>
      <w:color w:val="595959" w:themeColor="text1" w:themeTint="A6"/>
    </w:rPr>
  </w:style>
  <w:style w:type="character" w:styleId="155">
    <w:name w:val="Heading 7 Char"/>
    <w:basedOn w:val="791"/>
    <w:link w:val="144"/>
    <w:uiPriority w:val="9"/>
    <w:pPr>
      <w:pBdr/>
      <w:spacing/>
      <w:ind/>
    </w:pPr>
    <w:rPr>
      <w:rFonts w:ascii="Arial" w:hAnsi="Arial" w:eastAsia="Arial" w:cs="Arial"/>
      <w:color w:val="595959" w:themeColor="text1" w:themeTint="A6"/>
    </w:rPr>
  </w:style>
  <w:style w:type="character" w:styleId="156">
    <w:name w:val="Heading 8 Char"/>
    <w:basedOn w:val="791"/>
    <w:link w:val="145"/>
    <w:uiPriority w:val="9"/>
    <w:pPr>
      <w:pBdr/>
      <w:spacing/>
      <w:ind/>
    </w:pPr>
    <w:rPr>
      <w:rFonts w:ascii="Arial" w:hAnsi="Arial" w:eastAsia="Arial" w:cs="Arial"/>
      <w:i/>
      <w:iCs/>
      <w:color w:val="272727" w:themeColor="text1" w:themeTint="D8"/>
    </w:rPr>
  </w:style>
  <w:style w:type="character" w:styleId="157">
    <w:name w:val="Heading 9 Char"/>
    <w:basedOn w:val="791"/>
    <w:link w:val="146"/>
    <w:uiPriority w:val="9"/>
    <w:pPr>
      <w:pBdr/>
      <w:spacing/>
      <w:ind/>
    </w:pPr>
    <w:rPr>
      <w:rFonts w:ascii="Arial" w:hAnsi="Arial" w:eastAsia="Arial" w:cs="Arial"/>
      <w:i/>
      <w:iCs/>
      <w:color w:val="272727" w:themeColor="text1" w:themeTint="D8"/>
    </w:rPr>
  </w:style>
  <w:style w:type="paragraph" w:styleId="158">
    <w:name w:val="Title"/>
    <w:basedOn w:val="788"/>
    <w:next w:val="788"/>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91"/>
    <w:link w:val="158"/>
    <w:uiPriority w:val="10"/>
    <w:pPr>
      <w:pBdr/>
      <w:spacing/>
      <w:ind/>
    </w:pPr>
    <w:rPr>
      <w:rFonts w:ascii="Arial" w:hAnsi="Arial" w:eastAsia="Arial" w:cs="Arial"/>
      <w:spacing w:val="-10"/>
      <w:sz w:val="56"/>
      <w:szCs w:val="56"/>
    </w:rPr>
  </w:style>
  <w:style w:type="paragraph" w:styleId="160">
    <w:name w:val="Subtitle"/>
    <w:basedOn w:val="788"/>
    <w:next w:val="788"/>
    <w:link w:val="161"/>
    <w:uiPriority w:val="11"/>
    <w:qFormat/>
    <w:pPr>
      <w:numPr>
        <w:ilvl w:val="1"/>
      </w:numPr>
      <w:pBdr/>
      <w:spacing/>
      <w:ind/>
    </w:pPr>
    <w:rPr>
      <w:color w:val="595959" w:themeColor="text1" w:themeTint="A6"/>
      <w:spacing w:val="15"/>
      <w:sz w:val="28"/>
      <w:szCs w:val="28"/>
    </w:rPr>
  </w:style>
  <w:style w:type="character" w:styleId="161">
    <w:name w:val="Subtitle Char"/>
    <w:basedOn w:val="791"/>
    <w:link w:val="160"/>
    <w:uiPriority w:val="11"/>
    <w:pPr>
      <w:pBdr/>
      <w:spacing/>
      <w:ind/>
    </w:pPr>
    <w:rPr>
      <w:color w:val="595959" w:themeColor="text1" w:themeTint="A6"/>
      <w:spacing w:val="15"/>
      <w:sz w:val="28"/>
      <w:szCs w:val="28"/>
    </w:rPr>
  </w:style>
  <w:style w:type="paragraph" w:styleId="162">
    <w:name w:val="Quote"/>
    <w:basedOn w:val="788"/>
    <w:next w:val="788"/>
    <w:link w:val="163"/>
    <w:uiPriority w:val="29"/>
    <w:qFormat/>
    <w:pPr>
      <w:pBdr/>
      <w:spacing w:before="160"/>
      <w:ind/>
      <w:jc w:val="center"/>
    </w:pPr>
    <w:rPr>
      <w:i/>
      <w:iCs/>
      <w:color w:val="404040" w:themeColor="text1" w:themeTint="BF"/>
    </w:rPr>
  </w:style>
  <w:style w:type="character" w:styleId="163">
    <w:name w:val="Quote Char"/>
    <w:basedOn w:val="791"/>
    <w:link w:val="162"/>
    <w:uiPriority w:val="29"/>
    <w:pPr>
      <w:pBdr/>
      <w:spacing/>
      <w:ind/>
    </w:pPr>
    <w:rPr>
      <w:i/>
      <w:iCs/>
      <w:color w:val="404040" w:themeColor="text1" w:themeTint="BF"/>
    </w:rPr>
  </w:style>
  <w:style w:type="character" w:styleId="165">
    <w:name w:val="Intense Emphasis"/>
    <w:basedOn w:val="791"/>
    <w:uiPriority w:val="21"/>
    <w:qFormat/>
    <w:pPr>
      <w:pBdr/>
      <w:spacing/>
      <w:ind/>
    </w:pPr>
    <w:rPr>
      <w:i/>
      <w:iCs/>
      <w:color w:val="0f4761" w:themeColor="accent1" w:themeShade="BF"/>
    </w:rPr>
  </w:style>
  <w:style w:type="paragraph" w:styleId="166">
    <w:name w:val="Intense Quote"/>
    <w:basedOn w:val="788"/>
    <w:next w:val="78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91"/>
    <w:link w:val="166"/>
    <w:uiPriority w:val="30"/>
    <w:pPr>
      <w:pBdr/>
      <w:spacing/>
      <w:ind/>
    </w:pPr>
    <w:rPr>
      <w:i/>
      <w:iCs/>
      <w:color w:val="0f4761" w:themeColor="accent1" w:themeShade="BF"/>
    </w:rPr>
  </w:style>
  <w:style w:type="character" w:styleId="168">
    <w:name w:val="Intense Reference"/>
    <w:basedOn w:val="791"/>
    <w:uiPriority w:val="32"/>
    <w:qFormat/>
    <w:pPr>
      <w:pBdr/>
      <w:spacing/>
      <w:ind/>
    </w:pPr>
    <w:rPr>
      <w:b/>
      <w:bCs/>
      <w:smallCaps/>
      <w:color w:val="0f4761" w:themeColor="accent1" w:themeShade="BF"/>
      <w:spacing w:val="5"/>
    </w:rPr>
  </w:style>
  <w:style w:type="paragraph" w:styleId="169">
    <w:name w:val="No Spacing"/>
    <w:basedOn w:val="788"/>
    <w:uiPriority w:val="1"/>
    <w:qFormat/>
    <w:pPr>
      <w:pBdr/>
      <w:spacing w:after="0" w:line="240" w:lineRule="auto"/>
      <w:ind/>
    </w:pPr>
  </w:style>
  <w:style w:type="character" w:styleId="170">
    <w:name w:val="Subtle Emphasis"/>
    <w:basedOn w:val="791"/>
    <w:uiPriority w:val="19"/>
    <w:qFormat/>
    <w:pPr>
      <w:pBdr/>
      <w:spacing/>
      <w:ind/>
    </w:pPr>
    <w:rPr>
      <w:i/>
      <w:iCs/>
      <w:color w:val="404040" w:themeColor="text1" w:themeTint="BF"/>
    </w:rPr>
  </w:style>
  <w:style w:type="character" w:styleId="173">
    <w:name w:val="Subtle Reference"/>
    <w:basedOn w:val="791"/>
    <w:uiPriority w:val="31"/>
    <w:qFormat/>
    <w:pPr>
      <w:pBdr/>
      <w:spacing/>
      <w:ind/>
    </w:pPr>
    <w:rPr>
      <w:smallCaps/>
      <w:color w:val="5a5a5a" w:themeColor="text1" w:themeTint="A5"/>
    </w:rPr>
  </w:style>
  <w:style w:type="character" w:styleId="174">
    <w:name w:val="Book Title"/>
    <w:basedOn w:val="791"/>
    <w:uiPriority w:val="33"/>
    <w:qFormat/>
    <w:pPr>
      <w:pBdr/>
      <w:spacing/>
      <w:ind/>
    </w:pPr>
    <w:rPr>
      <w:b/>
      <w:bCs/>
      <w:i/>
      <w:iCs/>
      <w:spacing w:val="5"/>
    </w:rPr>
  </w:style>
  <w:style w:type="paragraph" w:styleId="179">
    <w:name w:val="Caption"/>
    <w:basedOn w:val="788"/>
    <w:next w:val="788"/>
    <w:uiPriority w:val="35"/>
    <w:unhideWhenUsed/>
    <w:qFormat/>
    <w:pPr>
      <w:pBdr/>
      <w:spacing w:after="200" w:line="240" w:lineRule="auto"/>
      <w:ind/>
    </w:pPr>
    <w:rPr>
      <w:i/>
      <w:iCs/>
      <w:color w:val="0e2841" w:themeColor="text2"/>
      <w:sz w:val="18"/>
      <w:szCs w:val="18"/>
    </w:rPr>
  </w:style>
  <w:style w:type="paragraph" w:styleId="180">
    <w:name w:val="footnote text"/>
    <w:basedOn w:val="788"/>
    <w:link w:val="181"/>
    <w:uiPriority w:val="99"/>
    <w:semiHidden/>
    <w:unhideWhenUsed/>
    <w:pPr>
      <w:pBdr/>
      <w:spacing w:after="0" w:line="240" w:lineRule="auto"/>
      <w:ind/>
    </w:pPr>
    <w:rPr>
      <w:sz w:val="20"/>
      <w:szCs w:val="20"/>
    </w:rPr>
  </w:style>
  <w:style w:type="character" w:styleId="181">
    <w:name w:val="Footnote Text Char"/>
    <w:basedOn w:val="791"/>
    <w:link w:val="180"/>
    <w:uiPriority w:val="99"/>
    <w:semiHidden/>
    <w:pPr>
      <w:pBdr/>
      <w:spacing/>
      <w:ind/>
    </w:pPr>
    <w:rPr>
      <w:sz w:val="20"/>
      <w:szCs w:val="20"/>
    </w:rPr>
  </w:style>
  <w:style w:type="character" w:styleId="182">
    <w:name w:val="footnote reference"/>
    <w:basedOn w:val="791"/>
    <w:uiPriority w:val="99"/>
    <w:semiHidden/>
    <w:unhideWhenUsed/>
    <w:pPr>
      <w:pBdr/>
      <w:spacing/>
      <w:ind/>
    </w:pPr>
    <w:rPr>
      <w:vertAlign w:val="superscript"/>
    </w:rPr>
  </w:style>
  <w:style w:type="paragraph" w:styleId="183">
    <w:name w:val="endnote text"/>
    <w:basedOn w:val="788"/>
    <w:link w:val="184"/>
    <w:uiPriority w:val="99"/>
    <w:semiHidden/>
    <w:unhideWhenUsed/>
    <w:pPr>
      <w:pBdr/>
      <w:spacing w:after="0" w:line="240" w:lineRule="auto"/>
      <w:ind/>
    </w:pPr>
    <w:rPr>
      <w:sz w:val="20"/>
      <w:szCs w:val="20"/>
    </w:rPr>
  </w:style>
  <w:style w:type="character" w:styleId="184">
    <w:name w:val="Endnote Text Char"/>
    <w:basedOn w:val="791"/>
    <w:link w:val="183"/>
    <w:uiPriority w:val="99"/>
    <w:semiHidden/>
    <w:pPr>
      <w:pBdr/>
      <w:spacing/>
      <w:ind/>
    </w:pPr>
    <w:rPr>
      <w:sz w:val="20"/>
      <w:szCs w:val="20"/>
    </w:rPr>
  </w:style>
  <w:style w:type="character" w:styleId="185">
    <w:name w:val="endnote reference"/>
    <w:basedOn w:val="791"/>
    <w:uiPriority w:val="99"/>
    <w:semiHidden/>
    <w:unhideWhenUsed/>
    <w:pPr>
      <w:pBdr/>
      <w:spacing/>
      <w:ind/>
    </w:pPr>
    <w:rPr>
      <w:vertAlign w:val="superscript"/>
    </w:rPr>
  </w:style>
  <w:style w:type="character" w:styleId="187">
    <w:name w:val="FollowedHyperlink"/>
    <w:basedOn w:val="791"/>
    <w:uiPriority w:val="99"/>
    <w:semiHidden/>
    <w:unhideWhenUsed/>
    <w:pPr>
      <w:pBdr/>
      <w:spacing/>
      <w:ind/>
    </w:pPr>
    <w:rPr>
      <w:color w:val="954f72" w:themeColor="followedHyperlink"/>
      <w:u w:val="single"/>
    </w:rPr>
  </w:style>
  <w:style w:type="paragraph" w:styleId="188">
    <w:name w:val="toc 1"/>
    <w:basedOn w:val="788"/>
    <w:next w:val="788"/>
    <w:uiPriority w:val="39"/>
    <w:unhideWhenUsed/>
    <w:pPr>
      <w:pBdr/>
      <w:spacing w:after="100"/>
      <w:ind/>
    </w:pPr>
  </w:style>
  <w:style w:type="paragraph" w:styleId="189">
    <w:name w:val="toc 2"/>
    <w:basedOn w:val="788"/>
    <w:next w:val="788"/>
    <w:uiPriority w:val="39"/>
    <w:unhideWhenUsed/>
    <w:pPr>
      <w:pBdr/>
      <w:spacing w:after="100"/>
      <w:ind w:left="220"/>
    </w:pPr>
  </w:style>
  <w:style w:type="paragraph" w:styleId="190">
    <w:name w:val="toc 3"/>
    <w:basedOn w:val="788"/>
    <w:next w:val="788"/>
    <w:uiPriority w:val="39"/>
    <w:unhideWhenUsed/>
    <w:pPr>
      <w:pBdr/>
      <w:spacing w:after="100"/>
      <w:ind w:left="440"/>
    </w:pPr>
  </w:style>
  <w:style w:type="paragraph" w:styleId="191">
    <w:name w:val="toc 4"/>
    <w:basedOn w:val="788"/>
    <w:next w:val="788"/>
    <w:uiPriority w:val="39"/>
    <w:unhideWhenUsed/>
    <w:pPr>
      <w:pBdr/>
      <w:spacing w:after="100"/>
      <w:ind w:left="660"/>
    </w:pPr>
  </w:style>
  <w:style w:type="paragraph" w:styleId="192">
    <w:name w:val="toc 5"/>
    <w:basedOn w:val="788"/>
    <w:next w:val="788"/>
    <w:uiPriority w:val="39"/>
    <w:unhideWhenUsed/>
    <w:pPr>
      <w:pBdr/>
      <w:spacing w:after="100"/>
      <w:ind w:left="880"/>
    </w:pPr>
  </w:style>
  <w:style w:type="paragraph" w:styleId="193">
    <w:name w:val="toc 6"/>
    <w:basedOn w:val="788"/>
    <w:next w:val="788"/>
    <w:uiPriority w:val="39"/>
    <w:unhideWhenUsed/>
    <w:pPr>
      <w:pBdr/>
      <w:spacing w:after="100"/>
      <w:ind w:left="1100"/>
    </w:pPr>
  </w:style>
  <w:style w:type="paragraph" w:styleId="194">
    <w:name w:val="toc 7"/>
    <w:basedOn w:val="788"/>
    <w:next w:val="788"/>
    <w:uiPriority w:val="39"/>
    <w:unhideWhenUsed/>
    <w:pPr>
      <w:pBdr/>
      <w:spacing w:after="100"/>
      <w:ind w:left="1320"/>
    </w:pPr>
  </w:style>
  <w:style w:type="paragraph" w:styleId="195">
    <w:name w:val="toc 8"/>
    <w:basedOn w:val="788"/>
    <w:next w:val="788"/>
    <w:uiPriority w:val="39"/>
    <w:unhideWhenUsed/>
    <w:pPr>
      <w:pBdr/>
      <w:spacing w:after="100"/>
      <w:ind w:left="1540"/>
    </w:pPr>
  </w:style>
  <w:style w:type="paragraph" w:styleId="196">
    <w:name w:val="toc 9"/>
    <w:basedOn w:val="788"/>
    <w:next w:val="78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88"/>
    <w:next w:val="788"/>
    <w:uiPriority w:val="99"/>
    <w:unhideWhenUsed/>
    <w:pPr>
      <w:pBdr/>
      <w:spacing w:after="0" w:afterAutospacing="0"/>
      <w:ind/>
    </w:pPr>
  </w:style>
  <w:style w:type="paragraph" w:styleId="788" w:default="1">
    <w:name w:val="Normal"/>
    <w:qFormat/>
    <w:pPr>
      <w:pBdr/>
      <w:spacing/>
      <w:ind/>
    </w:pPr>
    <w:rPr>
      <w:sz w:val="24"/>
      <w:szCs w:val="24"/>
    </w:rPr>
  </w:style>
  <w:style w:type="paragraph" w:styleId="789">
    <w:name w:val="Heading 1"/>
    <w:basedOn w:val="788"/>
    <w:qFormat/>
    <w:pPr>
      <w:pBdr/>
      <w:spacing w:after="100" w:afterAutospacing="1" w:before="100" w:beforeAutospacing="1"/>
      <w:ind/>
      <w:outlineLvl w:val="0"/>
    </w:pPr>
    <w:rPr>
      <w:b/>
      <w:bCs/>
      <w:sz w:val="48"/>
      <w:szCs w:val="48"/>
    </w:rPr>
  </w:style>
  <w:style w:type="paragraph" w:styleId="790">
    <w:name w:val="Heading 4"/>
    <w:basedOn w:val="788"/>
    <w:next w:val="788"/>
    <w:link w:val="818"/>
    <w:semiHidden/>
    <w:unhideWhenUsed/>
    <w:qFormat/>
    <w:pPr>
      <w:keepNext w:val="true"/>
      <w:keepLines w:val="true"/>
      <w:pBdr/>
      <w:spacing w:before="40"/>
      <w:ind/>
      <w:outlineLvl w:val="3"/>
    </w:pPr>
    <w:rPr>
      <w:rFonts w:asciiTheme="majorHAnsi" w:hAnsiTheme="majorHAnsi" w:eastAsiaTheme="majorEastAsia" w:cstheme="majorBidi"/>
      <w:i/>
      <w:iCs/>
      <w:color w:val="365f91" w:themeColor="accent1" w:themeShade="BF"/>
    </w:rPr>
  </w:style>
  <w:style w:type="character" w:styleId="791" w:default="1">
    <w:name w:val="Default Paragraph Font"/>
    <w:uiPriority w:val="1"/>
    <w:semiHidden/>
    <w:unhideWhenUsed/>
    <w:pPr>
      <w:pBdr/>
      <w:spacing/>
      <w:ind/>
    </w:pPr>
  </w:style>
  <w:style w:type="table" w:styleId="79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3" w:default="1">
    <w:name w:val="No List"/>
    <w:uiPriority w:val="99"/>
    <w:semiHidden/>
    <w:unhideWhenUsed/>
    <w:pPr>
      <w:pBdr/>
      <w:spacing/>
      <w:ind/>
    </w:pPr>
  </w:style>
  <w:style w:type="paragraph" w:styleId="794">
    <w:name w:val="Header"/>
    <w:basedOn w:val="788"/>
    <w:link w:val="799"/>
    <w:uiPriority w:val="99"/>
    <w:pPr>
      <w:pBdr/>
      <w:tabs>
        <w:tab w:val="center" w:leader="none" w:pos="4320"/>
        <w:tab w:val="right" w:leader="none" w:pos="8640"/>
      </w:tabs>
      <w:spacing/>
      <w:ind/>
    </w:pPr>
  </w:style>
  <w:style w:type="paragraph" w:styleId="795">
    <w:name w:val="Footer"/>
    <w:basedOn w:val="788"/>
    <w:link w:val="802"/>
    <w:uiPriority w:val="99"/>
    <w:pPr>
      <w:pBdr/>
      <w:tabs>
        <w:tab w:val="center" w:leader="none" w:pos="4320"/>
        <w:tab w:val="right" w:leader="none" w:pos="8640"/>
      </w:tabs>
      <w:spacing/>
      <w:ind/>
    </w:pPr>
  </w:style>
  <w:style w:type="character" w:styleId="796">
    <w:name w:val="page number"/>
    <w:basedOn w:val="791"/>
    <w:pPr>
      <w:pBdr/>
      <w:spacing/>
      <w:ind/>
    </w:pPr>
  </w:style>
  <w:style w:type="table" w:styleId="797">
    <w:name w:val="Table Grid"/>
    <w:basedOn w:val="792"/>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8" w:customStyle="1">
    <w:name w:val="Char Char1 Char Char Char Char Char Char Char"/>
    <w:basedOn w:val="788"/>
    <w:pPr>
      <w:pBdr/>
      <w:spacing w:after="160" w:line="240" w:lineRule="exact"/>
      <w:ind/>
    </w:pPr>
    <w:rPr>
      <w:rFonts w:ascii="Verdana" w:hAnsi="Verdana"/>
      <w:sz w:val="20"/>
      <w:szCs w:val="20"/>
    </w:rPr>
  </w:style>
  <w:style w:type="character" w:styleId="799" w:customStyle="1">
    <w:name w:val="Header Char"/>
    <w:link w:val="794"/>
    <w:uiPriority w:val="99"/>
    <w:pPr>
      <w:pBdr/>
      <w:spacing/>
      <w:ind/>
    </w:pPr>
    <w:rPr>
      <w:sz w:val="24"/>
      <w:szCs w:val="24"/>
    </w:rPr>
  </w:style>
  <w:style w:type="paragraph" w:styleId="800">
    <w:name w:val="Body Text Indent"/>
    <w:basedOn w:val="788"/>
    <w:link w:val="801"/>
    <w:pPr>
      <w:pBdr/>
      <w:spacing w:after="120"/>
      <w:ind w:left="360"/>
    </w:pPr>
    <w:rPr>
      <w:sz w:val="20"/>
      <w:szCs w:val="20"/>
    </w:rPr>
  </w:style>
  <w:style w:type="character" w:styleId="801" w:customStyle="1">
    <w:name w:val="Body Text Indent Char"/>
    <w:basedOn w:val="791"/>
    <w:link w:val="800"/>
    <w:pPr>
      <w:pBdr/>
      <w:spacing/>
      <w:ind/>
    </w:pPr>
  </w:style>
  <w:style w:type="character" w:styleId="802" w:customStyle="1">
    <w:name w:val="Footer Char"/>
    <w:link w:val="795"/>
    <w:uiPriority w:val="99"/>
    <w:pPr>
      <w:pBdr/>
      <w:spacing/>
      <w:ind/>
    </w:pPr>
    <w:rPr>
      <w:sz w:val="24"/>
      <w:szCs w:val="24"/>
    </w:rPr>
  </w:style>
  <w:style w:type="character" w:styleId="803">
    <w:name w:val="Emphasis"/>
    <w:qFormat/>
    <w:pPr>
      <w:pBdr/>
      <w:spacing/>
      <w:ind/>
    </w:pPr>
    <w:rPr>
      <w:i/>
      <w:iCs/>
    </w:rPr>
  </w:style>
  <w:style w:type="paragraph" w:styleId="804">
    <w:name w:val="Balloon Text"/>
    <w:basedOn w:val="788"/>
    <w:semiHidden/>
    <w:pPr>
      <w:pBdr/>
      <w:spacing/>
      <w:ind/>
    </w:pPr>
    <w:rPr>
      <w:rFonts w:ascii="Tahoma" w:hAnsi="Tahoma" w:cs="Tahoma"/>
      <w:sz w:val="16"/>
      <w:szCs w:val="16"/>
    </w:rPr>
  </w:style>
  <w:style w:type="paragraph" w:styleId="805" w:customStyle="1">
    <w:name w:val="Char Char Char Char Char Char Char"/>
    <w:basedOn w:val="788"/>
    <w:semiHidden/>
    <w:pPr>
      <w:pageBreakBefore w:val="true"/>
      <w:pBdr/>
      <w:spacing w:after="100" w:afterAutospacing="1" w:before="100" w:beforeAutospacing="1"/>
      <w:ind/>
    </w:pPr>
    <w:rPr>
      <w:rFonts w:ascii="Tahoma" w:hAnsi="Tahoma"/>
      <w:sz w:val="20"/>
      <w:szCs w:val="20"/>
    </w:rPr>
  </w:style>
  <w:style w:type="paragraph" w:styleId="806" w:customStyle="1">
    <w:name w:val="Char Char Char"/>
    <w:basedOn w:val="788"/>
    <w:semiHidden/>
    <w:pPr>
      <w:pageBreakBefore w:val="true"/>
      <w:pBdr/>
      <w:spacing w:after="100" w:afterAutospacing="1" w:before="100" w:beforeAutospacing="1"/>
      <w:ind/>
    </w:pPr>
    <w:rPr>
      <w:rFonts w:ascii="Tahoma" w:hAnsi="Tahoma"/>
      <w:sz w:val="20"/>
      <w:szCs w:val="20"/>
    </w:rPr>
  </w:style>
  <w:style w:type="paragraph" w:styleId="807" w:customStyle="1">
    <w:name w:val="Char Char1"/>
    <w:basedOn w:val="788"/>
    <w:semiHidden/>
    <w:pPr>
      <w:pageBreakBefore w:val="true"/>
      <w:pBdr/>
      <w:spacing w:after="100" w:afterAutospacing="1" w:before="100" w:beforeAutospacing="1"/>
      <w:ind/>
    </w:pPr>
    <w:rPr>
      <w:rFonts w:ascii="Tahoma" w:hAnsi="Tahoma"/>
      <w:sz w:val="20"/>
      <w:szCs w:val="20"/>
    </w:rPr>
  </w:style>
  <w:style w:type="paragraph" w:styleId="808">
    <w:name w:val="Body Text 3"/>
    <w:basedOn w:val="788"/>
    <w:link w:val="809"/>
    <w:uiPriority w:val="99"/>
    <w:unhideWhenUsed/>
    <w:pPr>
      <w:pBdr/>
      <w:spacing w:after="120"/>
      <w:ind/>
    </w:pPr>
    <w:rPr>
      <w:sz w:val="16"/>
      <w:szCs w:val="16"/>
    </w:rPr>
  </w:style>
  <w:style w:type="character" w:styleId="809" w:customStyle="1">
    <w:name w:val="Body Text 3 Char"/>
    <w:link w:val="808"/>
    <w:uiPriority w:val="99"/>
    <w:pPr>
      <w:pBdr/>
      <w:spacing/>
      <w:ind/>
    </w:pPr>
    <w:rPr>
      <w:sz w:val="16"/>
      <w:szCs w:val="16"/>
    </w:rPr>
  </w:style>
  <w:style w:type="paragraph" w:styleId="810">
    <w:name w:val="List Paragraph"/>
    <w:basedOn w:val="788"/>
    <w:link w:val="815"/>
    <w:uiPriority w:val="34"/>
    <w:qFormat/>
    <w:pPr>
      <w:pBdr/>
      <w:spacing/>
      <w:ind w:left="720"/>
      <w:contextualSpacing w:val="true"/>
    </w:pPr>
  </w:style>
  <w:style w:type="paragraph" w:styleId="811">
    <w:name w:val="Normal (Web)"/>
    <w:basedOn w:val="788"/>
    <w:link w:val="813"/>
    <w:uiPriority w:val="99"/>
    <w:unhideWhenUsed/>
    <w:qFormat/>
    <w:pPr>
      <w:pBdr/>
      <w:spacing w:after="100" w:afterAutospacing="1" w:before="100" w:beforeAutospacing="1"/>
      <w:ind/>
    </w:pPr>
  </w:style>
  <w:style w:type="paragraph" w:styleId="812" w:customStyle="1">
    <w:name w:val="Char Char Char1 Char"/>
    <w:basedOn w:val="788"/>
    <w:pPr>
      <w:pBdr/>
      <w:spacing w:after="160" w:line="240" w:lineRule="exact"/>
      <w:ind/>
    </w:pPr>
    <w:rPr>
      <w:rFonts w:ascii="Verdana" w:hAnsi="Verdana"/>
      <w:sz w:val="20"/>
      <w:szCs w:val="20"/>
    </w:rPr>
  </w:style>
  <w:style w:type="character" w:styleId="813" w:customStyle="1">
    <w:name w:val="Normal (Web) Char1"/>
    <w:link w:val="811"/>
    <w:uiPriority w:val="99"/>
    <w:pPr>
      <w:pBdr/>
      <w:spacing/>
      <w:ind/>
    </w:pPr>
    <w:rPr>
      <w:sz w:val="24"/>
      <w:szCs w:val="24"/>
    </w:rPr>
  </w:style>
  <w:style w:type="character" w:styleId="814" w:customStyle="1">
    <w:name w:val="fontstyle01"/>
    <w:pPr>
      <w:pBdr/>
      <w:spacing/>
      <w:ind/>
    </w:pPr>
    <w:rPr>
      <w:rFonts w:hint="default" w:ascii="Times New Roman" w:hAnsi="Times New Roman" w:cs="Times New Roman"/>
      <w:b w:val="0"/>
      <w:bCs w:val="0"/>
      <w:i w:val="0"/>
      <w:iCs w:val="0"/>
      <w:color w:val="000000"/>
      <w:sz w:val="28"/>
      <w:szCs w:val="28"/>
    </w:rPr>
  </w:style>
  <w:style w:type="character" w:styleId="815" w:customStyle="1">
    <w:name w:val="List Paragraph Char"/>
    <w:link w:val="810"/>
    <w:pPr>
      <w:pBdr/>
      <w:spacing/>
      <w:ind/>
    </w:pPr>
    <w:rPr>
      <w:sz w:val="24"/>
      <w:szCs w:val="24"/>
    </w:rPr>
  </w:style>
  <w:style w:type="character" w:styleId="816">
    <w:name w:val="Hyperlink"/>
    <w:basedOn w:val="791"/>
    <w:uiPriority w:val="99"/>
    <w:semiHidden/>
    <w:unhideWhenUsed/>
    <w:pPr>
      <w:pBdr/>
      <w:spacing/>
      <w:ind/>
    </w:pPr>
    <w:rPr>
      <w:color w:val="0000ff"/>
      <w:u w:val="single"/>
    </w:rPr>
  </w:style>
  <w:style w:type="character" w:styleId="817">
    <w:name w:val="Strong"/>
    <w:basedOn w:val="791"/>
    <w:uiPriority w:val="22"/>
    <w:qFormat/>
    <w:pPr>
      <w:pBdr/>
      <w:spacing/>
      <w:ind/>
    </w:pPr>
    <w:rPr>
      <w:b/>
      <w:bCs/>
    </w:rPr>
  </w:style>
  <w:style w:type="character" w:styleId="818" w:customStyle="1">
    <w:name w:val="Heading 4 Char"/>
    <w:basedOn w:val="791"/>
    <w:link w:val="790"/>
    <w:semiHidden/>
    <w:pPr>
      <w:pBdr/>
      <w:spacing/>
      <w:ind/>
    </w:pPr>
    <w:rPr>
      <w:rFonts w:asciiTheme="majorHAnsi" w:hAnsiTheme="majorHAnsi" w:eastAsiaTheme="majorEastAsia" w:cstheme="majorBidi"/>
      <w:i/>
      <w:iCs/>
      <w:color w:val="365f91" w:themeColor="accent1" w:themeShade="BF"/>
      <w:sz w:val="24"/>
      <w:szCs w:val="24"/>
    </w:rPr>
  </w:style>
  <w:style w:type="character" w:styleId="819" w:customStyle="1">
    <w:name w:val="doclink"/>
    <w:basedOn w:val="79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863A-E1CA-4900-8955-A3FD0A4A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Computer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tienmanh</dc:creator>
  <cp:lastModifiedBy>Lê Nhật Khánh</cp:lastModifiedBy>
  <cp:revision>3</cp:revision>
  <dcterms:created xsi:type="dcterms:W3CDTF">2026-02-09T04:41:00Z</dcterms:created>
  <dcterms:modified xsi:type="dcterms:W3CDTF">2026-02-09T09:03:29Z</dcterms:modified>
</cp:coreProperties>
</file>